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69AAB" w14:textId="5053ED55" w:rsidR="007E37B8" w:rsidRPr="006D350C" w:rsidRDefault="007E37B8" w:rsidP="00A64E2A">
      <w:pPr>
        <w:adjustRightInd w:val="0"/>
        <w:snapToGrid w:val="0"/>
        <w:spacing w:line="600" w:lineRule="exact"/>
        <w:jc w:val="center"/>
        <w:rPr>
          <w:rFonts w:ascii="宋体" w:hAnsi="宋体"/>
          <w:sz w:val="24"/>
          <w:lang w:eastAsia="zh-CN"/>
        </w:rPr>
      </w:pPr>
      <w:r w:rsidRPr="006D350C">
        <w:rPr>
          <w:rFonts w:ascii="宋体" w:hAnsi="宋体" w:hint="eastAsia"/>
          <w:sz w:val="24"/>
          <w:lang w:eastAsia="zh-CN"/>
        </w:rPr>
        <w:t>证券代码：605198         证券简称：</w:t>
      </w:r>
      <w:r w:rsidR="000044AD">
        <w:rPr>
          <w:rFonts w:ascii="宋体" w:hAnsi="宋体" w:hint="eastAsia"/>
          <w:sz w:val="24"/>
          <w:lang w:eastAsia="zh-CN"/>
        </w:rPr>
        <w:t>安德利</w:t>
      </w:r>
      <w:r w:rsidRPr="006D350C">
        <w:rPr>
          <w:rFonts w:ascii="宋体" w:hAnsi="宋体" w:hint="eastAsia"/>
          <w:sz w:val="24"/>
          <w:lang w:eastAsia="zh-CN"/>
        </w:rPr>
        <w:t xml:space="preserve">         公告编号：202</w:t>
      </w:r>
      <w:r w:rsidR="0065675F">
        <w:rPr>
          <w:rFonts w:ascii="宋体" w:hAnsi="宋体" w:hint="eastAsia"/>
          <w:sz w:val="24"/>
          <w:lang w:eastAsia="zh-CN"/>
        </w:rPr>
        <w:t>5</w:t>
      </w:r>
      <w:r w:rsidRPr="00117178">
        <w:rPr>
          <w:rFonts w:ascii="宋体" w:hAnsi="宋体" w:hint="eastAsia"/>
          <w:sz w:val="24"/>
          <w:lang w:eastAsia="zh-CN"/>
        </w:rPr>
        <w:t>-</w:t>
      </w:r>
      <w:r w:rsidR="001500A2">
        <w:rPr>
          <w:rFonts w:ascii="宋体" w:hAnsi="宋体" w:hint="eastAsia"/>
          <w:sz w:val="24"/>
          <w:lang w:eastAsia="zh-CN"/>
        </w:rPr>
        <w:t>02</w:t>
      </w:r>
      <w:r w:rsidR="006F72A0">
        <w:rPr>
          <w:rFonts w:ascii="宋体" w:hAnsi="宋体" w:hint="eastAsia"/>
          <w:sz w:val="24"/>
          <w:lang w:eastAsia="zh-CN"/>
        </w:rPr>
        <w:t>5</w:t>
      </w:r>
    </w:p>
    <w:p w14:paraId="4408855C" w14:textId="77777777" w:rsidR="007E37B8" w:rsidRPr="006D350C" w:rsidRDefault="007E37B8" w:rsidP="007A63DE">
      <w:pPr>
        <w:adjustRightInd w:val="0"/>
        <w:snapToGrid w:val="0"/>
        <w:spacing w:after="0" w:line="240" w:lineRule="auto"/>
        <w:jc w:val="center"/>
        <w:rPr>
          <w:rFonts w:ascii="宋体" w:hAnsi="宋体"/>
          <w:b/>
          <w:bCs/>
          <w:color w:val="FF0000"/>
          <w:sz w:val="36"/>
          <w:szCs w:val="36"/>
          <w:lang w:eastAsia="zh-CN"/>
        </w:rPr>
      </w:pPr>
    </w:p>
    <w:p w14:paraId="15F10233" w14:textId="2A4AFBAB" w:rsidR="007E37B8" w:rsidRPr="006D350C" w:rsidRDefault="007E37B8" w:rsidP="007A63DE">
      <w:pPr>
        <w:adjustRightInd w:val="0"/>
        <w:snapToGrid w:val="0"/>
        <w:spacing w:line="440" w:lineRule="exact"/>
        <w:jc w:val="center"/>
        <w:rPr>
          <w:rFonts w:ascii="宋体" w:hAnsi="宋体"/>
          <w:b/>
          <w:bCs/>
          <w:color w:val="FF0000"/>
          <w:sz w:val="36"/>
          <w:szCs w:val="36"/>
          <w:lang w:eastAsia="zh-CN"/>
        </w:rPr>
      </w:pPr>
      <w:r w:rsidRPr="006D350C">
        <w:rPr>
          <w:rFonts w:ascii="宋体" w:hAnsi="宋体" w:hint="eastAsia"/>
          <w:b/>
          <w:bCs/>
          <w:color w:val="FF0000"/>
          <w:sz w:val="36"/>
          <w:szCs w:val="36"/>
          <w:lang w:eastAsia="zh-CN"/>
        </w:rPr>
        <w:t>烟台北方安德利果汁股份有限公司</w:t>
      </w:r>
    </w:p>
    <w:p w14:paraId="59EE27F5" w14:textId="7A1A4CAD" w:rsidR="007E37B8" w:rsidRDefault="007E37B8" w:rsidP="00A41A30">
      <w:pPr>
        <w:adjustRightInd w:val="0"/>
        <w:snapToGrid w:val="0"/>
        <w:spacing w:beforeLines="50" w:before="120" w:after="360" w:line="440" w:lineRule="exact"/>
        <w:jc w:val="center"/>
        <w:rPr>
          <w:rFonts w:ascii="宋体" w:hAnsi="宋体"/>
          <w:b/>
          <w:bCs/>
          <w:color w:val="FF0000"/>
          <w:sz w:val="36"/>
          <w:szCs w:val="36"/>
          <w:lang w:eastAsia="zh-CN"/>
        </w:rPr>
      </w:pPr>
      <w:r w:rsidRPr="006D350C">
        <w:rPr>
          <w:rFonts w:ascii="宋体" w:hAnsi="宋体"/>
          <w:b/>
          <w:bCs/>
          <w:color w:val="FF0000"/>
          <w:sz w:val="36"/>
          <w:szCs w:val="36"/>
          <w:lang w:eastAsia="zh-CN"/>
        </w:rPr>
        <w:t>关于开展远期结售汇业务的公告</w:t>
      </w:r>
    </w:p>
    <w:p w14:paraId="466214F7" w14:textId="77777777" w:rsidR="00A41A30" w:rsidRPr="00A41A30" w:rsidRDefault="00A41A30" w:rsidP="00A41A30">
      <w:pPr>
        <w:pBdr>
          <w:top w:val="single" w:sz="4" w:space="8" w:color="auto"/>
          <w:left w:val="single" w:sz="4" w:space="0" w:color="auto"/>
          <w:bottom w:val="single" w:sz="4" w:space="0" w:color="auto"/>
          <w:right w:val="single" w:sz="4" w:space="4" w:color="auto"/>
        </w:pBdr>
        <w:adjustRightInd w:val="0"/>
        <w:snapToGrid w:val="0"/>
        <w:spacing w:beforeLines="100" w:before="240" w:after="0" w:line="360" w:lineRule="auto"/>
        <w:ind w:firstLineChars="200" w:firstLine="480"/>
        <w:rPr>
          <w:rFonts w:ascii="宋体" w:eastAsia="宋体" w:hAnsi="宋体" w:cs="宋体"/>
          <w:color w:val="000000"/>
          <w:sz w:val="24"/>
          <w:szCs w:val="24"/>
          <w:lang w:eastAsia="zh-CN"/>
        </w:rPr>
      </w:pPr>
      <w:r w:rsidRPr="00A41A30">
        <w:rPr>
          <w:rFonts w:ascii="宋体" w:eastAsia="宋体" w:hAnsi="宋体" w:cs="宋体" w:hint="eastAsia"/>
          <w:color w:val="000000"/>
          <w:sz w:val="24"/>
          <w:szCs w:val="24"/>
          <w:lang w:eastAsia="zh-CN"/>
        </w:rPr>
        <w:t>本公司董事会及全体董事保证本公告内容不存在任何虚假记载、误导性陈述或者重大遗漏，并对其内容的真实性、准确性和完整性承担法律责任。</w:t>
      </w:r>
    </w:p>
    <w:p w14:paraId="3F0F2908" w14:textId="77777777" w:rsidR="007E37B8" w:rsidRPr="006D350C" w:rsidRDefault="007E37B8">
      <w:pPr>
        <w:tabs>
          <w:tab w:val="left" w:pos="3000"/>
          <w:tab w:val="left" w:pos="6280"/>
        </w:tabs>
        <w:spacing w:after="0" w:line="335" w:lineRule="exact"/>
        <w:ind w:left="82" w:right="302"/>
        <w:jc w:val="center"/>
        <w:rPr>
          <w:rFonts w:ascii="宋体" w:eastAsia="宋体" w:hAnsi="宋体" w:cs="宋体"/>
          <w:position w:val="-3"/>
          <w:sz w:val="24"/>
          <w:szCs w:val="24"/>
          <w:lang w:eastAsia="zh-CN"/>
        </w:rPr>
      </w:pPr>
    </w:p>
    <w:p w14:paraId="4EB3EF84" w14:textId="77777777" w:rsidR="00800E43" w:rsidRPr="006D350C" w:rsidRDefault="00362E17" w:rsidP="006C62AF">
      <w:pPr>
        <w:spacing w:afterLines="50" w:after="120" w:line="360" w:lineRule="auto"/>
        <w:ind w:right="-20" w:firstLineChars="200" w:firstLine="486"/>
        <w:rPr>
          <w:rFonts w:ascii="宋体" w:eastAsia="宋体" w:hAnsi="宋体" w:cs="宋体"/>
          <w:b/>
          <w:sz w:val="24"/>
          <w:szCs w:val="24"/>
          <w:lang w:eastAsia="zh-CN"/>
        </w:rPr>
      </w:pPr>
      <w:r w:rsidRPr="006D350C">
        <w:rPr>
          <w:rFonts w:ascii="宋体" w:eastAsia="宋体" w:hAnsi="宋体" w:cs="宋体"/>
          <w:b/>
          <w:spacing w:val="2"/>
          <w:position w:val="-3"/>
          <w:sz w:val="24"/>
          <w:szCs w:val="24"/>
          <w:lang w:eastAsia="zh-CN"/>
        </w:rPr>
        <w:t>重</w:t>
      </w:r>
      <w:r w:rsidRPr="006D350C">
        <w:rPr>
          <w:rFonts w:ascii="宋体" w:eastAsia="宋体" w:hAnsi="宋体" w:cs="宋体"/>
          <w:b/>
          <w:position w:val="-3"/>
          <w:sz w:val="24"/>
          <w:szCs w:val="24"/>
          <w:lang w:eastAsia="zh-CN"/>
        </w:rPr>
        <w:t>要</w:t>
      </w:r>
      <w:r w:rsidRPr="006D350C">
        <w:rPr>
          <w:rFonts w:ascii="宋体" w:eastAsia="宋体" w:hAnsi="宋体" w:cs="宋体"/>
          <w:b/>
          <w:spacing w:val="2"/>
          <w:position w:val="-3"/>
          <w:sz w:val="24"/>
          <w:szCs w:val="24"/>
          <w:lang w:eastAsia="zh-CN"/>
        </w:rPr>
        <w:t>内</w:t>
      </w:r>
      <w:r w:rsidRPr="006D350C">
        <w:rPr>
          <w:rFonts w:ascii="宋体" w:eastAsia="宋体" w:hAnsi="宋体" w:cs="宋体"/>
          <w:b/>
          <w:position w:val="-3"/>
          <w:sz w:val="24"/>
          <w:szCs w:val="24"/>
          <w:lang w:eastAsia="zh-CN"/>
        </w:rPr>
        <w:t>容提</w:t>
      </w:r>
      <w:r w:rsidRPr="006D350C">
        <w:rPr>
          <w:rFonts w:ascii="宋体" w:eastAsia="宋体" w:hAnsi="宋体" w:cs="宋体"/>
          <w:b/>
          <w:spacing w:val="2"/>
          <w:position w:val="-3"/>
          <w:sz w:val="24"/>
          <w:szCs w:val="24"/>
          <w:lang w:eastAsia="zh-CN"/>
        </w:rPr>
        <w:t>示</w:t>
      </w:r>
      <w:r w:rsidRPr="006D350C">
        <w:rPr>
          <w:rFonts w:ascii="宋体" w:eastAsia="宋体" w:hAnsi="宋体" w:cs="宋体"/>
          <w:b/>
          <w:position w:val="-3"/>
          <w:sz w:val="24"/>
          <w:szCs w:val="24"/>
          <w:lang w:eastAsia="zh-CN"/>
        </w:rPr>
        <w:t>：</w:t>
      </w:r>
    </w:p>
    <w:p w14:paraId="62F007D3" w14:textId="756A8209" w:rsidR="003716B2" w:rsidRPr="006D350C" w:rsidRDefault="007E37B8" w:rsidP="0065675F">
      <w:pPr>
        <w:autoSpaceDE w:val="0"/>
        <w:autoSpaceDN w:val="0"/>
        <w:adjustRightInd w:val="0"/>
        <w:spacing w:line="360" w:lineRule="auto"/>
        <w:ind w:firstLineChars="200" w:firstLine="480"/>
        <w:jc w:val="both"/>
        <w:rPr>
          <w:rFonts w:ascii="宋体" w:eastAsia="宋体" w:hAnsi="宋体" w:cs="宋体"/>
          <w:spacing w:val="2"/>
          <w:sz w:val="24"/>
          <w:szCs w:val="24"/>
          <w:lang w:eastAsia="zh-CN"/>
        </w:rPr>
      </w:pPr>
      <w:r w:rsidRPr="006D350C">
        <w:rPr>
          <w:rFonts w:ascii="宋体" w:eastAsia="宋体" w:hAnsi="宋体" w:cs="宋体"/>
          <w:sz w:val="24"/>
          <w:szCs w:val="24"/>
          <w:lang w:eastAsia="zh-CN"/>
        </w:rPr>
        <w:t>●</w:t>
      </w:r>
      <w:r w:rsidR="00A41A30">
        <w:rPr>
          <w:rFonts w:ascii="宋体" w:eastAsia="宋体" w:hAnsi="宋体" w:cs="宋体" w:hint="eastAsia"/>
          <w:sz w:val="24"/>
          <w:szCs w:val="24"/>
          <w:lang w:eastAsia="zh-CN"/>
        </w:rPr>
        <w:t xml:space="preserve"> </w:t>
      </w:r>
      <w:r w:rsidR="00362E17" w:rsidRPr="006D350C">
        <w:rPr>
          <w:rFonts w:ascii="宋体" w:eastAsia="宋体" w:hAnsi="宋体" w:cs="宋体"/>
          <w:spacing w:val="2"/>
          <w:sz w:val="24"/>
          <w:szCs w:val="24"/>
          <w:lang w:eastAsia="zh-CN"/>
        </w:rPr>
        <w:t>远期结售汇</w:t>
      </w:r>
      <w:r w:rsidR="00362E17" w:rsidRPr="006D350C">
        <w:rPr>
          <w:rFonts w:ascii="宋体" w:eastAsia="宋体" w:hAnsi="宋体" w:cs="宋体"/>
          <w:spacing w:val="5"/>
          <w:sz w:val="24"/>
          <w:szCs w:val="24"/>
          <w:lang w:eastAsia="zh-CN"/>
        </w:rPr>
        <w:t>业务</w:t>
      </w:r>
      <w:r w:rsidR="00362E17" w:rsidRPr="006D350C">
        <w:rPr>
          <w:rFonts w:ascii="宋体" w:eastAsia="宋体" w:hAnsi="宋体" w:cs="宋体"/>
          <w:spacing w:val="2"/>
          <w:sz w:val="24"/>
          <w:szCs w:val="24"/>
          <w:lang w:eastAsia="zh-CN"/>
        </w:rPr>
        <w:t>额度及授权期</w:t>
      </w:r>
      <w:r w:rsidR="00362E17" w:rsidRPr="006D350C">
        <w:rPr>
          <w:rFonts w:ascii="宋体" w:eastAsia="宋体" w:hAnsi="宋体" w:cs="宋体"/>
          <w:spacing w:val="5"/>
          <w:sz w:val="24"/>
          <w:szCs w:val="24"/>
          <w:lang w:eastAsia="zh-CN"/>
        </w:rPr>
        <w:t>间</w:t>
      </w:r>
      <w:r w:rsidR="00362E17" w:rsidRPr="006D350C">
        <w:rPr>
          <w:rFonts w:ascii="宋体" w:eastAsia="宋体" w:hAnsi="宋体" w:cs="宋体"/>
          <w:spacing w:val="2"/>
          <w:sz w:val="24"/>
          <w:szCs w:val="24"/>
          <w:lang w:eastAsia="zh-CN"/>
        </w:rPr>
        <w:t>：</w:t>
      </w:r>
      <w:r w:rsidR="00423CDC">
        <w:rPr>
          <w:rFonts w:ascii="宋体" w:eastAsia="宋体" w:hAnsi="宋体" w:cs="宋体"/>
          <w:spacing w:val="2"/>
          <w:sz w:val="24"/>
          <w:szCs w:val="24"/>
          <w:lang w:eastAsia="zh-CN"/>
        </w:rPr>
        <w:t>烟台北方安德利果汁股份有限</w:t>
      </w:r>
      <w:r w:rsidR="00946F97">
        <w:rPr>
          <w:rFonts w:ascii="宋体" w:eastAsia="宋体" w:hAnsi="宋体" w:cs="宋体"/>
          <w:spacing w:val="2"/>
          <w:sz w:val="24"/>
          <w:szCs w:val="24"/>
          <w:lang w:eastAsia="zh-CN"/>
        </w:rPr>
        <w:t>公司</w:t>
      </w:r>
      <w:r w:rsidR="00423CDC">
        <w:rPr>
          <w:rFonts w:ascii="宋体" w:eastAsia="宋体" w:hAnsi="宋体" w:cs="宋体"/>
          <w:spacing w:val="2"/>
          <w:sz w:val="24"/>
          <w:szCs w:val="24"/>
          <w:lang w:eastAsia="zh-CN"/>
        </w:rPr>
        <w:t>（简称“公司”或“本公司”）</w:t>
      </w:r>
      <w:r w:rsidR="00362E17" w:rsidRPr="006D350C">
        <w:rPr>
          <w:rFonts w:ascii="宋体" w:eastAsia="宋体" w:hAnsi="宋体" w:cs="宋体"/>
          <w:spacing w:val="2"/>
          <w:sz w:val="24"/>
          <w:szCs w:val="24"/>
          <w:lang w:eastAsia="zh-CN"/>
        </w:rPr>
        <w:t>拟开展远期结</w:t>
      </w:r>
      <w:r w:rsidR="00362E17" w:rsidRPr="006D350C">
        <w:rPr>
          <w:rFonts w:ascii="宋体" w:eastAsia="宋体" w:hAnsi="宋体" w:cs="宋体"/>
          <w:spacing w:val="5"/>
          <w:sz w:val="24"/>
          <w:szCs w:val="24"/>
          <w:lang w:eastAsia="zh-CN"/>
        </w:rPr>
        <w:t>售</w:t>
      </w:r>
      <w:r w:rsidR="00362E17" w:rsidRPr="006D350C">
        <w:rPr>
          <w:rFonts w:ascii="宋体" w:eastAsia="宋体" w:hAnsi="宋体" w:cs="宋体"/>
          <w:spacing w:val="2"/>
          <w:sz w:val="24"/>
          <w:szCs w:val="24"/>
          <w:lang w:eastAsia="zh-CN"/>
        </w:rPr>
        <w:t>汇业</w:t>
      </w:r>
      <w:r w:rsidR="00362E17" w:rsidRPr="006D350C">
        <w:rPr>
          <w:rFonts w:ascii="宋体" w:eastAsia="宋体" w:hAnsi="宋体" w:cs="宋体"/>
          <w:spacing w:val="5"/>
          <w:sz w:val="24"/>
          <w:szCs w:val="24"/>
          <w:lang w:eastAsia="zh-CN"/>
        </w:rPr>
        <w:t>务</w:t>
      </w:r>
      <w:r w:rsidR="00362E17" w:rsidRPr="006D350C">
        <w:rPr>
          <w:rFonts w:ascii="宋体" w:eastAsia="宋体" w:hAnsi="宋体" w:cs="宋体"/>
          <w:spacing w:val="2"/>
          <w:sz w:val="24"/>
          <w:szCs w:val="24"/>
          <w:lang w:eastAsia="zh-CN"/>
        </w:rPr>
        <w:t>，累</w:t>
      </w:r>
      <w:r w:rsidR="00362E17" w:rsidRPr="006D350C">
        <w:rPr>
          <w:rFonts w:ascii="宋体" w:eastAsia="宋体" w:hAnsi="宋体" w:cs="宋体"/>
          <w:sz w:val="24"/>
          <w:szCs w:val="24"/>
          <w:lang w:eastAsia="zh-CN"/>
        </w:rPr>
        <w:t>计金额不超过</w:t>
      </w:r>
      <w:r w:rsidR="00A972D7">
        <w:rPr>
          <w:rFonts w:ascii="宋体" w:eastAsia="宋体" w:hAnsi="宋体" w:cs="宋体" w:hint="eastAsia"/>
          <w:sz w:val="24"/>
          <w:szCs w:val="24"/>
          <w:lang w:eastAsia="zh-CN"/>
        </w:rPr>
        <w:t>5,000</w:t>
      </w:r>
      <w:r w:rsidR="00BD25DD" w:rsidRPr="006D350C">
        <w:rPr>
          <w:rFonts w:ascii="宋体" w:eastAsia="宋体" w:hAnsi="宋体" w:cs="宋体" w:hint="eastAsia"/>
          <w:sz w:val="24"/>
          <w:szCs w:val="24"/>
          <w:lang w:eastAsia="zh-CN"/>
        </w:rPr>
        <w:t>.00</w:t>
      </w:r>
      <w:r w:rsidR="00362E17" w:rsidRPr="006D350C">
        <w:rPr>
          <w:rFonts w:ascii="宋体" w:eastAsia="宋体" w:hAnsi="宋体" w:cs="宋体"/>
          <w:sz w:val="24"/>
          <w:szCs w:val="24"/>
          <w:lang w:eastAsia="zh-CN"/>
        </w:rPr>
        <w:t>万</w:t>
      </w:r>
      <w:r w:rsidR="00362E17" w:rsidRPr="006D350C">
        <w:rPr>
          <w:rFonts w:ascii="宋体" w:eastAsia="宋体" w:hAnsi="宋体" w:cs="宋体"/>
          <w:spacing w:val="1"/>
          <w:sz w:val="24"/>
          <w:szCs w:val="24"/>
          <w:lang w:eastAsia="zh-CN"/>
        </w:rPr>
        <w:t>美</w:t>
      </w:r>
      <w:r w:rsidR="00362E17" w:rsidRPr="006D350C">
        <w:rPr>
          <w:rFonts w:ascii="宋体" w:eastAsia="宋体" w:hAnsi="宋体" w:cs="宋体"/>
          <w:sz w:val="24"/>
          <w:szCs w:val="24"/>
          <w:lang w:eastAsia="zh-CN"/>
        </w:rPr>
        <w:t>元</w:t>
      </w:r>
      <w:r w:rsidR="00362E17" w:rsidRPr="006D350C">
        <w:rPr>
          <w:rFonts w:ascii="宋体" w:eastAsia="宋体" w:hAnsi="宋体" w:cs="宋体"/>
          <w:spacing w:val="-94"/>
          <w:sz w:val="24"/>
          <w:szCs w:val="24"/>
          <w:lang w:eastAsia="zh-CN"/>
        </w:rPr>
        <w:t>，</w:t>
      </w:r>
      <w:r w:rsidR="003716B2" w:rsidRPr="006D350C">
        <w:rPr>
          <w:rFonts w:ascii="宋体" w:eastAsia="宋体" w:hAnsi="宋体" w:cs="宋体"/>
          <w:spacing w:val="2"/>
          <w:sz w:val="24"/>
          <w:szCs w:val="24"/>
          <w:lang w:eastAsia="zh-CN"/>
        </w:rPr>
        <w:t>授权期间自</w:t>
      </w:r>
      <w:r w:rsidR="003716B2" w:rsidRPr="006D350C">
        <w:rPr>
          <w:rFonts w:ascii="宋体" w:eastAsia="宋体" w:hAnsi="宋体" w:cs="宋体" w:hint="eastAsia"/>
          <w:spacing w:val="2"/>
          <w:sz w:val="24"/>
          <w:szCs w:val="24"/>
          <w:lang w:eastAsia="zh-CN"/>
        </w:rPr>
        <w:t>本</w:t>
      </w:r>
      <w:r w:rsidR="003716B2" w:rsidRPr="006D350C">
        <w:rPr>
          <w:rFonts w:ascii="宋体" w:eastAsia="宋体" w:hAnsi="宋体" w:cs="宋体"/>
          <w:spacing w:val="2"/>
          <w:sz w:val="24"/>
          <w:szCs w:val="24"/>
          <w:lang w:eastAsia="zh-CN"/>
        </w:rPr>
        <w:t>公司</w:t>
      </w:r>
      <w:r w:rsidR="00A21756">
        <w:rPr>
          <w:rFonts w:ascii="宋体" w:eastAsia="宋体" w:hAnsi="宋体" w:cs="宋体"/>
          <w:spacing w:val="2"/>
          <w:sz w:val="24"/>
          <w:szCs w:val="24"/>
          <w:lang w:eastAsia="zh-CN"/>
        </w:rPr>
        <w:t>第八届</w:t>
      </w:r>
      <w:r w:rsidR="003716B2" w:rsidRPr="006D350C">
        <w:rPr>
          <w:rFonts w:ascii="宋体" w:eastAsia="宋体" w:hAnsi="宋体" w:cs="宋体"/>
          <w:spacing w:val="2"/>
          <w:sz w:val="24"/>
          <w:szCs w:val="24"/>
          <w:lang w:eastAsia="zh-CN"/>
        </w:rPr>
        <w:t>董事会</w:t>
      </w:r>
      <w:r w:rsidR="00A21756">
        <w:rPr>
          <w:rFonts w:ascii="宋体" w:eastAsia="宋体" w:hAnsi="宋体" w:cs="宋体"/>
          <w:spacing w:val="2"/>
          <w:sz w:val="24"/>
          <w:szCs w:val="24"/>
          <w:lang w:eastAsia="zh-CN"/>
        </w:rPr>
        <w:t>第二十九次会议</w:t>
      </w:r>
      <w:r w:rsidR="003716B2" w:rsidRPr="006D350C">
        <w:rPr>
          <w:rFonts w:ascii="宋体" w:eastAsia="宋体" w:hAnsi="宋体" w:cs="宋体"/>
          <w:spacing w:val="2"/>
          <w:sz w:val="24"/>
          <w:szCs w:val="24"/>
          <w:lang w:eastAsia="zh-CN"/>
        </w:rPr>
        <w:t>审议</w:t>
      </w:r>
      <w:r w:rsidR="00EE0F44">
        <w:rPr>
          <w:rFonts w:ascii="宋体" w:eastAsia="宋体" w:hAnsi="宋体" w:cs="宋体"/>
          <w:spacing w:val="2"/>
          <w:sz w:val="24"/>
          <w:szCs w:val="24"/>
          <w:lang w:eastAsia="zh-CN"/>
        </w:rPr>
        <w:t>《关于公司开展远期结售汇业务的议案》</w:t>
      </w:r>
      <w:r w:rsidR="003716B2" w:rsidRPr="006D350C">
        <w:rPr>
          <w:rFonts w:ascii="宋体" w:eastAsia="宋体" w:hAnsi="宋体" w:cs="宋体"/>
          <w:spacing w:val="2"/>
          <w:sz w:val="24"/>
          <w:szCs w:val="24"/>
          <w:lang w:eastAsia="zh-CN"/>
        </w:rPr>
        <w:t>通过之日起至下一年度</w:t>
      </w:r>
      <w:r w:rsidR="003716B2" w:rsidRPr="006D350C">
        <w:rPr>
          <w:rFonts w:ascii="宋体" w:eastAsia="宋体" w:hAnsi="宋体" w:cs="宋体" w:hint="eastAsia"/>
          <w:spacing w:val="2"/>
          <w:sz w:val="24"/>
          <w:szCs w:val="24"/>
          <w:lang w:eastAsia="zh-CN"/>
        </w:rPr>
        <w:t>本</w:t>
      </w:r>
      <w:r w:rsidR="003716B2" w:rsidRPr="006D350C">
        <w:rPr>
          <w:rFonts w:ascii="宋体" w:eastAsia="宋体" w:hAnsi="宋体" w:cs="宋体"/>
          <w:spacing w:val="2"/>
          <w:sz w:val="24"/>
          <w:szCs w:val="24"/>
          <w:lang w:eastAsia="zh-CN"/>
        </w:rPr>
        <w:t>公司董事会审议通过上述议案之日止。</w:t>
      </w:r>
    </w:p>
    <w:p w14:paraId="4476E0F5" w14:textId="0BEE09BD" w:rsidR="00800E43" w:rsidRPr="006D350C" w:rsidRDefault="007E37B8" w:rsidP="0058062D">
      <w:pPr>
        <w:spacing w:before="120" w:afterLines="50" w:after="120" w:line="360" w:lineRule="auto"/>
        <w:ind w:firstLineChars="200" w:firstLine="480"/>
        <w:jc w:val="both"/>
        <w:rPr>
          <w:rFonts w:ascii="宋体" w:eastAsia="宋体" w:hAnsi="宋体" w:cs="宋体"/>
          <w:sz w:val="24"/>
          <w:szCs w:val="24"/>
          <w:lang w:eastAsia="zh-CN"/>
        </w:rPr>
      </w:pPr>
      <w:r w:rsidRPr="006D350C">
        <w:rPr>
          <w:rFonts w:ascii="宋体" w:eastAsia="宋体" w:hAnsi="宋体" w:cs="宋体"/>
          <w:sz w:val="24"/>
          <w:szCs w:val="24"/>
          <w:lang w:eastAsia="zh-CN"/>
        </w:rPr>
        <w:t>●</w:t>
      </w:r>
      <w:r w:rsidR="00A41A30">
        <w:rPr>
          <w:rFonts w:ascii="宋体" w:eastAsia="宋体" w:hAnsi="宋体" w:cs="宋体" w:hint="eastAsia"/>
          <w:sz w:val="24"/>
          <w:szCs w:val="24"/>
          <w:lang w:eastAsia="zh-CN"/>
        </w:rPr>
        <w:t xml:space="preserve"> </w:t>
      </w:r>
      <w:r w:rsidR="00362E17" w:rsidRPr="006D350C">
        <w:rPr>
          <w:rFonts w:ascii="宋体" w:eastAsia="宋体" w:hAnsi="宋体" w:cs="宋体"/>
          <w:sz w:val="24"/>
          <w:szCs w:val="24"/>
          <w:lang w:eastAsia="zh-CN"/>
        </w:rPr>
        <w:t>本项业务不构</w:t>
      </w:r>
      <w:r w:rsidR="00362E17" w:rsidRPr="006D350C">
        <w:rPr>
          <w:rFonts w:ascii="宋体" w:eastAsia="宋体" w:hAnsi="宋体" w:cs="宋体"/>
          <w:spacing w:val="2"/>
          <w:sz w:val="24"/>
          <w:szCs w:val="24"/>
          <w:lang w:eastAsia="zh-CN"/>
        </w:rPr>
        <w:t>成</w:t>
      </w:r>
      <w:r w:rsidR="00362E17" w:rsidRPr="006D350C">
        <w:rPr>
          <w:rFonts w:ascii="宋体" w:eastAsia="宋体" w:hAnsi="宋体" w:cs="宋体"/>
          <w:sz w:val="24"/>
          <w:szCs w:val="24"/>
          <w:lang w:eastAsia="zh-CN"/>
        </w:rPr>
        <w:t>关联交易</w:t>
      </w:r>
      <w:r w:rsidR="00362E17" w:rsidRPr="006D350C">
        <w:rPr>
          <w:rFonts w:ascii="宋体" w:eastAsia="宋体" w:hAnsi="宋体" w:cs="宋体"/>
          <w:spacing w:val="-5"/>
          <w:sz w:val="24"/>
          <w:szCs w:val="24"/>
          <w:lang w:eastAsia="zh-CN"/>
        </w:rPr>
        <w:t>。</w:t>
      </w:r>
      <w:r w:rsidR="00362E17" w:rsidRPr="006D350C">
        <w:rPr>
          <w:rFonts w:ascii="宋体" w:eastAsia="宋体" w:hAnsi="宋体" w:cs="宋体"/>
          <w:sz w:val="24"/>
          <w:szCs w:val="24"/>
          <w:lang w:eastAsia="zh-CN"/>
        </w:rPr>
        <w:t>本事项已经公司第</w:t>
      </w:r>
      <w:r w:rsidR="000044AD">
        <w:rPr>
          <w:rFonts w:ascii="宋体" w:eastAsia="宋体" w:hAnsi="宋体" w:cs="宋体" w:hint="eastAsia"/>
          <w:sz w:val="24"/>
          <w:szCs w:val="24"/>
          <w:lang w:eastAsia="zh-CN"/>
        </w:rPr>
        <w:t>八</w:t>
      </w:r>
      <w:r w:rsidR="00362E17" w:rsidRPr="006D350C">
        <w:rPr>
          <w:rFonts w:ascii="宋体" w:eastAsia="宋体" w:hAnsi="宋体" w:cs="宋体"/>
          <w:sz w:val="24"/>
          <w:szCs w:val="24"/>
          <w:lang w:eastAsia="zh-CN"/>
        </w:rPr>
        <w:t>届董事会第</w:t>
      </w:r>
      <w:r w:rsidR="0065675F">
        <w:rPr>
          <w:rFonts w:ascii="宋体" w:eastAsia="宋体" w:hAnsi="宋体" w:cs="宋体"/>
          <w:sz w:val="24"/>
          <w:szCs w:val="24"/>
          <w:lang w:eastAsia="zh-CN"/>
        </w:rPr>
        <w:t>二</w:t>
      </w:r>
      <w:r w:rsidR="00423CDC">
        <w:rPr>
          <w:rFonts w:ascii="宋体" w:eastAsia="宋体" w:hAnsi="宋体" w:cs="宋体"/>
          <w:sz w:val="24"/>
          <w:szCs w:val="24"/>
          <w:lang w:eastAsia="zh-CN"/>
        </w:rPr>
        <w:t>十</w:t>
      </w:r>
      <w:r w:rsidR="00A21756">
        <w:rPr>
          <w:rFonts w:ascii="宋体" w:eastAsia="宋体" w:hAnsi="宋体" w:cs="宋体"/>
          <w:sz w:val="24"/>
          <w:szCs w:val="24"/>
          <w:lang w:eastAsia="zh-CN"/>
        </w:rPr>
        <w:t>九</w:t>
      </w:r>
      <w:r w:rsidR="00362E17" w:rsidRPr="006D350C">
        <w:rPr>
          <w:rFonts w:ascii="宋体" w:eastAsia="宋体" w:hAnsi="宋体" w:cs="宋体"/>
          <w:sz w:val="24"/>
          <w:szCs w:val="24"/>
          <w:lang w:eastAsia="zh-CN"/>
        </w:rPr>
        <w:t>次会议审议通过，无需提交公司股东大会审议。</w:t>
      </w:r>
    </w:p>
    <w:p w14:paraId="564B7F39" w14:textId="57C92331" w:rsidR="008F2E0E" w:rsidRPr="00635A3E" w:rsidRDefault="00362E17" w:rsidP="00635A3E">
      <w:pPr>
        <w:pStyle w:val="1"/>
        <w:spacing w:before="120" w:after="120" w:line="360" w:lineRule="auto"/>
        <w:ind w:firstLineChars="200" w:firstLine="486"/>
        <w:rPr>
          <w:rFonts w:ascii="宋体" w:eastAsia="宋体" w:hAnsi="宋体"/>
          <w:sz w:val="24"/>
          <w:szCs w:val="24"/>
          <w:lang w:eastAsia="zh-CN"/>
        </w:rPr>
      </w:pPr>
      <w:r w:rsidRPr="00635A3E">
        <w:rPr>
          <w:rFonts w:ascii="宋体" w:eastAsia="宋体" w:hAnsi="宋体"/>
          <w:spacing w:val="2"/>
          <w:sz w:val="24"/>
          <w:szCs w:val="24"/>
          <w:lang w:eastAsia="zh-CN"/>
        </w:rPr>
        <w:t>一</w:t>
      </w:r>
      <w:r w:rsidRPr="00635A3E">
        <w:rPr>
          <w:rFonts w:ascii="宋体" w:eastAsia="宋体" w:hAnsi="宋体"/>
          <w:sz w:val="24"/>
          <w:szCs w:val="24"/>
          <w:lang w:eastAsia="zh-CN"/>
        </w:rPr>
        <w:t>、</w:t>
      </w:r>
      <w:r w:rsidR="008F2E0E" w:rsidRPr="00635A3E">
        <w:rPr>
          <w:rFonts w:ascii="宋体" w:eastAsia="宋体" w:hAnsi="宋体"/>
          <w:sz w:val="24"/>
          <w:szCs w:val="24"/>
          <w:lang w:eastAsia="zh-CN"/>
        </w:rPr>
        <w:t>交易情况概述</w:t>
      </w:r>
    </w:p>
    <w:p w14:paraId="7FBC7F0B" w14:textId="2CEA7C3B" w:rsidR="00800E43" w:rsidRPr="00635A3E" w:rsidRDefault="008F2E0E" w:rsidP="00635A3E">
      <w:pPr>
        <w:pStyle w:val="1"/>
        <w:spacing w:before="120" w:after="120" w:line="360" w:lineRule="auto"/>
        <w:ind w:firstLineChars="200" w:firstLine="486"/>
        <w:rPr>
          <w:rFonts w:ascii="宋体" w:eastAsia="宋体" w:hAnsi="宋体" w:cs="宋体"/>
          <w:sz w:val="24"/>
          <w:szCs w:val="24"/>
          <w:lang w:eastAsia="zh-CN"/>
        </w:rPr>
      </w:pPr>
      <w:r w:rsidRPr="00635A3E">
        <w:rPr>
          <w:rFonts w:ascii="宋体" w:eastAsia="宋体" w:hAnsi="宋体" w:cs="宋体"/>
          <w:spacing w:val="2"/>
          <w:sz w:val="24"/>
          <w:szCs w:val="24"/>
          <w:lang w:eastAsia="zh-CN"/>
        </w:rPr>
        <w:t>（一）远期</w:t>
      </w:r>
      <w:r w:rsidR="000B5049" w:rsidRPr="00635A3E">
        <w:rPr>
          <w:rFonts w:ascii="宋体" w:eastAsia="宋体" w:hAnsi="宋体" w:cs="宋体"/>
          <w:spacing w:val="2"/>
          <w:sz w:val="24"/>
          <w:szCs w:val="24"/>
          <w:lang w:eastAsia="zh-CN"/>
        </w:rPr>
        <w:t>结售汇业务</w:t>
      </w:r>
      <w:r w:rsidR="00362E17" w:rsidRPr="00635A3E">
        <w:rPr>
          <w:rFonts w:ascii="宋体" w:eastAsia="宋体" w:hAnsi="宋体" w:cs="宋体"/>
          <w:spacing w:val="2"/>
          <w:sz w:val="24"/>
          <w:szCs w:val="24"/>
          <w:lang w:eastAsia="zh-CN"/>
        </w:rPr>
        <w:t>目</w:t>
      </w:r>
      <w:r w:rsidR="00362E17" w:rsidRPr="00635A3E">
        <w:rPr>
          <w:rFonts w:ascii="宋体" w:eastAsia="宋体" w:hAnsi="宋体" w:cs="宋体"/>
          <w:sz w:val="24"/>
          <w:szCs w:val="24"/>
          <w:lang w:eastAsia="zh-CN"/>
        </w:rPr>
        <w:t>的</w:t>
      </w:r>
    </w:p>
    <w:p w14:paraId="50D086A7" w14:textId="77777777" w:rsidR="00BD25DD" w:rsidRDefault="00BD25DD" w:rsidP="0065675F">
      <w:pPr>
        <w:autoSpaceDE w:val="0"/>
        <w:autoSpaceDN w:val="0"/>
        <w:adjustRightInd w:val="0"/>
        <w:spacing w:beforeLines="50" w:before="120" w:afterLines="50" w:after="120" w:line="360" w:lineRule="auto"/>
        <w:ind w:firstLineChars="200" w:firstLine="480"/>
        <w:jc w:val="both"/>
        <w:rPr>
          <w:rFonts w:ascii="宋体" w:eastAsia="宋体" w:hAnsi="宋体" w:cs="宋体"/>
          <w:sz w:val="24"/>
          <w:szCs w:val="24"/>
          <w:lang w:eastAsia="zh-CN"/>
        </w:rPr>
      </w:pPr>
      <w:r w:rsidRPr="006D350C">
        <w:rPr>
          <w:rFonts w:ascii="宋体" w:eastAsia="宋体" w:hAnsi="宋体" w:cs="宋体" w:hint="eastAsia"/>
          <w:sz w:val="24"/>
          <w:szCs w:val="24"/>
          <w:lang w:eastAsia="zh-CN"/>
        </w:rPr>
        <w:t>因本公司国外客户的国际业务收支主要采用外币进行结算，因此当汇率出现较大波动时，汇兑损益会对公司的经营业务造成一定的影响。为了降低汇率波动对公司生产经营的影响，使公司保持较为稳定的利润水平，公司计划与银行开展远期结售汇业务。</w:t>
      </w:r>
    </w:p>
    <w:p w14:paraId="50AC9C91" w14:textId="76113E71" w:rsidR="00F370D9" w:rsidRPr="00F370D9" w:rsidRDefault="008F2E0E" w:rsidP="00635A3E">
      <w:pPr>
        <w:pStyle w:val="1"/>
        <w:spacing w:before="120" w:after="120" w:line="360" w:lineRule="auto"/>
        <w:ind w:firstLineChars="200" w:firstLine="486"/>
        <w:rPr>
          <w:rFonts w:ascii="宋体" w:eastAsia="宋体" w:hAnsi="宋体" w:cs="宋体"/>
          <w:spacing w:val="2"/>
          <w:sz w:val="24"/>
          <w:szCs w:val="24"/>
          <w:lang w:eastAsia="zh-CN"/>
        </w:rPr>
      </w:pPr>
      <w:r w:rsidRPr="00635A3E">
        <w:rPr>
          <w:rFonts w:ascii="宋体" w:eastAsia="宋体" w:hAnsi="宋体" w:cs="宋体"/>
          <w:spacing w:val="2"/>
          <w:sz w:val="24"/>
          <w:szCs w:val="24"/>
          <w:lang w:eastAsia="zh-CN"/>
        </w:rPr>
        <w:t>（</w:t>
      </w:r>
      <w:r w:rsidR="00362E17" w:rsidRPr="006D350C">
        <w:rPr>
          <w:rFonts w:ascii="宋体" w:eastAsia="宋体" w:hAnsi="宋体" w:cs="宋体"/>
          <w:spacing w:val="2"/>
          <w:sz w:val="24"/>
          <w:szCs w:val="24"/>
          <w:lang w:eastAsia="zh-CN"/>
        </w:rPr>
        <w:t>二</w:t>
      </w:r>
      <w:r w:rsidRPr="00635A3E">
        <w:rPr>
          <w:rFonts w:ascii="宋体" w:eastAsia="宋体" w:hAnsi="宋体" w:cs="宋体"/>
          <w:spacing w:val="2"/>
          <w:sz w:val="24"/>
          <w:szCs w:val="24"/>
          <w:lang w:eastAsia="zh-CN"/>
        </w:rPr>
        <w:t>）</w:t>
      </w:r>
      <w:r w:rsidR="00F370D9" w:rsidRPr="00F370D9">
        <w:rPr>
          <w:rFonts w:ascii="宋体" w:eastAsia="宋体" w:hAnsi="宋体" w:cs="宋体" w:hint="eastAsia"/>
          <w:spacing w:val="2"/>
          <w:sz w:val="24"/>
          <w:szCs w:val="24"/>
          <w:lang w:eastAsia="zh-CN"/>
        </w:rPr>
        <w:t>远期结售汇业务额度</w:t>
      </w:r>
      <w:r w:rsidR="00841704" w:rsidRPr="00635A3E">
        <w:rPr>
          <w:rFonts w:ascii="宋体" w:eastAsia="宋体" w:hAnsi="宋体" w:cs="宋体" w:hint="eastAsia"/>
          <w:spacing w:val="2"/>
          <w:sz w:val="24"/>
          <w:szCs w:val="24"/>
          <w:lang w:eastAsia="zh-CN"/>
        </w:rPr>
        <w:t>、</w:t>
      </w:r>
      <w:r w:rsidR="00F370D9" w:rsidRPr="00F370D9">
        <w:rPr>
          <w:rFonts w:ascii="宋体" w:eastAsia="宋体" w:hAnsi="宋体" w:cs="宋体" w:hint="eastAsia"/>
          <w:spacing w:val="2"/>
          <w:sz w:val="24"/>
          <w:szCs w:val="24"/>
          <w:lang w:eastAsia="zh-CN"/>
        </w:rPr>
        <w:t>授权期间</w:t>
      </w:r>
      <w:r w:rsidR="00841704" w:rsidRPr="00635A3E">
        <w:rPr>
          <w:rFonts w:ascii="宋体" w:eastAsia="宋体" w:hAnsi="宋体" w:cs="宋体" w:hint="eastAsia"/>
          <w:spacing w:val="2"/>
          <w:sz w:val="24"/>
          <w:szCs w:val="24"/>
          <w:lang w:eastAsia="zh-CN"/>
        </w:rPr>
        <w:t>及相关事项</w:t>
      </w:r>
    </w:p>
    <w:p w14:paraId="458710A3" w14:textId="3EFC5F90" w:rsidR="00F370D9" w:rsidRPr="00C1007C" w:rsidRDefault="00F370D9" w:rsidP="00C1007C">
      <w:pPr>
        <w:spacing w:beforeLines="50" w:before="120" w:afterLines="50" w:after="120" w:line="360" w:lineRule="auto"/>
        <w:ind w:firstLineChars="200" w:firstLine="484"/>
        <w:rPr>
          <w:rFonts w:ascii="宋体" w:eastAsia="宋体" w:hAnsi="宋体" w:cs="宋体"/>
          <w:spacing w:val="2"/>
          <w:sz w:val="24"/>
          <w:szCs w:val="24"/>
          <w:lang w:eastAsia="zh-CN"/>
        </w:rPr>
      </w:pPr>
      <w:r w:rsidRPr="00C1007C">
        <w:rPr>
          <w:rFonts w:ascii="宋体" w:eastAsia="宋体" w:hAnsi="宋体" w:cs="宋体" w:hint="eastAsia"/>
          <w:spacing w:val="2"/>
          <w:sz w:val="24"/>
          <w:szCs w:val="24"/>
          <w:lang w:eastAsia="zh-CN"/>
        </w:rPr>
        <w:t>公司拟开展远期结售汇业务，累计金额不超过</w:t>
      </w:r>
      <w:r w:rsidR="002B2539">
        <w:rPr>
          <w:rFonts w:ascii="宋体" w:eastAsia="宋体" w:hAnsi="宋体" w:cs="宋体" w:hint="eastAsia"/>
          <w:spacing w:val="2"/>
          <w:sz w:val="24"/>
          <w:szCs w:val="24"/>
          <w:lang w:eastAsia="zh-CN"/>
        </w:rPr>
        <w:t>5,000</w:t>
      </w:r>
      <w:r w:rsidRPr="00C1007C">
        <w:rPr>
          <w:rFonts w:ascii="宋体" w:eastAsia="宋体" w:hAnsi="宋体" w:cs="宋体" w:hint="eastAsia"/>
          <w:spacing w:val="2"/>
          <w:sz w:val="24"/>
          <w:szCs w:val="24"/>
          <w:lang w:eastAsia="zh-CN"/>
        </w:rPr>
        <w:t>.00万美元。授权期间自本公司第八届董事会第二十九次会议审议通过</w:t>
      </w:r>
      <w:r w:rsidR="00EE0F44">
        <w:rPr>
          <w:rFonts w:ascii="宋体" w:eastAsia="宋体" w:hAnsi="宋体" w:cs="宋体"/>
          <w:spacing w:val="2"/>
          <w:sz w:val="24"/>
          <w:szCs w:val="24"/>
          <w:lang w:eastAsia="zh-CN"/>
        </w:rPr>
        <w:t>《关于公司开展远期结售汇业务的议案》</w:t>
      </w:r>
      <w:r w:rsidRPr="00C1007C">
        <w:rPr>
          <w:rFonts w:ascii="宋体" w:eastAsia="宋体" w:hAnsi="宋体" w:cs="宋体" w:hint="eastAsia"/>
          <w:spacing w:val="2"/>
          <w:sz w:val="24"/>
          <w:szCs w:val="24"/>
          <w:lang w:eastAsia="zh-CN"/>
        </w:rPr>
        <w:t>之日起至下一年度本公司董事会审议通过上述议案之日止。</w:t>
      </w:r>
    </w:p>
    <w:p w14:paraId="3FAE725C" w14:textId="00DAF65D" w:rsidR="00F370D9" w:rsidRPr="00C1007C" w:rsidRDefault="00C1007C" w:rsidP="00C1007C">
      <w:pPr>
        <w:spacing w:beforeLines="50" w:before="120" w:afterLines="50" w:after="120" w:line="360" w:lineRule="auto"/>
        <w:ind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1</w:t>
      </w:r>
      <w:r w:rsidR="00F370D9" w:rsidRPr="00C1007C">
        <w:rPr>
          <w:rFonts w:ascii="宋体" w:eastAsia="宋体" w:hAnsi="宋体" w:cs="宋体" w:hint="eastAsia"/>
          <w:spacing w:val="2"/>
          <w:sz w:val="24"/>
          <w:szCs w:val="24"/>
          <w:lang w:eastAsia="zh-CN"/>
        </w:rPr>
        <w:t>、决策授权</w:t>
      </w:r>
      <w:r>
        <w:rPr>
          <w:rFonts w:ascii="宋体" w:eastAsia="宋体" w:hAnsi="宋体" w:cs="宋体" w:hint="eastAsia"/>
          <w:spacing w:val="2"/>
          <w:sz w:val="24"/>
          <w:szCs w:val="24"/>
          <w:lang w:eastAsia="zh-CN"/>
        </w:rPr>
        <w:t>：</w:t>
      </w:r>
      <w:r w:rsidR="00F370D9" w:rsidRPr="00C1007C">
        <w:rPr>
          <w:rFonts w:ascii="宋体" w:eastAsia="宋体" w:hAnsi="宋体" w:cs="宋体" w:hint="eastAsia"/>
          <w:spacing w:val="2"/>
          <w:sz w:val="24"/>
          <w:szCs w:val="24"/>
          <w:lang w:eastAsia="zh-CN"/>
        </w:rPr>
        <w:t>公司董事会授权公司执行董事签署相关文件、协议、授权书。</w:t>
      </w:r>
    </w:p>
    <w:p w14:paraId="148CB619" w14:textId="4448C6FB" w:rsidR="00F370D9" w:rsidRPr="00C1007C" w:rsidRDefault="00C1007C" w:rsidP="00C1007C">
      <w:pPr>
        <w:spacing w:beforeLines="50" w:before="120" w:afterLines="50" w:after="120" w:line="360" w:lineRule="auto"/>
        <w:ind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lastRenderedPageBreak/>
        <w:t>2</w:t>
      </w:r>
      <w:r w:rsidR="00F370D9" w:rsidRPr="00C1007C">
        <w:rPr>
          <w:rFonts w:ascii="宋体" w:eastAsia="宋体" w:hAnsi="宋体" w:cs="宋体" w:hint="eastAsia"/>
          <w:spacing w:val="2"/>
          <w:sz w:val="24"/>
          <w:szCs w:val="24"/>
          <w:lang w:eastAsia="zh-CN"/>
        </w:rPr>
        <w:t>、远期结售汇业务汇率</w:t>
      </w:r>
      <w:r>
        <w:rPr>
          <w:rFonts w:ascii="宋体" w:eastAsia="宋体" w:hAnsi="宋体" w:cs="宋体" w:hint="eastAsia"/>
          <w:spacing w:val="2"/>
          <w:sz w:val="24"/>
          <w:szCs w:val="24"/>
          <w:lang w:eastAsia="zh-CN"/>
        </w:rPr>
        <w:t>：</w:t>
      </w:r>
      <w:r w:rsidR="00F370D9" w:rsidRPr="00C1007C">
        <w:rPr>
          <w:rFonts w:ascii="宋体" w:eastAsia="宋体" w:hAnsi="宋体" w:cs="宋体" w:hint="eastAsia"/>
          <w:spacing w:val="2"/>
          <w:sz w:val="24"/>
          <w:szCs w:val="24"/>
          <w:lang w:eastAsia="zh-CN"/>
        </w:rPr>
        <w:t>银行的远期结售汇套期保值</w:t>
      </w:r>
      <w:proofErr w:type="gramStart"/>
      <w:r w:rsidR="00F370D9" w:rsidRPr="00C1007C">
        <w:rPr>
          <w:rFonts w:ascii="宋体" w:eastAsia="宋体" w:hAnsi="宋体" w:cs="宋体" w:hint="eastAsia"/>
          <w:spacing w:val="2"/>
          <w:sz w:val="24"/>
          <w:szCs w:val="24"/>
          <w:lang w:eastAsia="zh-CN"/>
        </w:rPr>
        <w:t>业务汇率</w:t>
      </w:r>
      <w:proofErr w:type="gramEnd"/>
      <w:r w:rsidR="00F370D9" w:rsidRPr="00C1007C">
        <w:rPr>
          <w:rFonts w:ascii="宋体" w:eastAsia="宋体" w:hAnsi="宋体" w:cs="宋体" w:hint="eastAsia"/>
          <w:spacing w:val="2"/>
          <w:sz w:val="24"/>
          <w:szCs w:val="24"/>
          <w:lang w:eastAsia="zh-CN"/>
        </w:rPr>
        <w:t>报价。</w:t>
      </w:r>
    </w:p>
    <w:p w14:paraId="3D9A796D" w14:textId="753299C5" w:rsidR="001A0A96" w:rsidRPr="00635A3E" w:rsidRDefault="001A0A96" w:rsidP="00635A3E">
      <w:pPr>
        <w:pStyle w:val="1"/>
        <w:spacing w:before="120" w:after="120" w:line="360" w:lineRule="auto"/>
        <w:ind w:firstLineChars="200" w:firstLine="486"/>
        <w:rPr>
          <w:rFonts w:ascii="宋体" w:eastAsia="宋体" w:hAnsi="宋体" w:cs="宋体"/>
          <w:spacing w:val="2"/>
          <w:sz w:val="24"/>
          <w:szCs w:val="24"/>
          <w:lang w:eastAsia="zh-CN"/>
        </w:rPr>
      </w:pPr>
      <w:r w:rsidRPr="00635A3E">
        <w:rPr>
          <w:rFonts w:ascii="宋体" w:eastAsia="宋体" w:hAnsi="宋体" w:cs="宋体" w:hint="eastAsia"/>
          <w:spacing w:val="2"/>
          <w:sz w:val="24"/>
          <w:szCs w:val="24"/>
          <w:lang w:eastAsia="zh-CN"/>
        </w:rPr>
        <w:t>（三）资金来源</w:t>
      </w:r>
    </w:p>
    <w:p w14:paraId="60E40FAF" w14:textId="5BF0C974" w:rsidR="001A0A96" w:rsidRDefault="001A0A96" w:rsidP="001A0A96">
      <w:pPr>
        <w:spacing w:beforeLines="50" w:before="120" w:afterLines="50" w:after="120" w:line="360" w:lineRule="auto"/>
        <w:ind w:firstLineChars="200" w:firstLine="484"/>
        <w:rPr>
          <w:rFonts w:ascii="宋体" w:eastAsia="宋体" w:hAnsi="宋体" w:cs="宋体"/>
          <w:spacing w:val="2"/>
          <w:sz w:val="24"/>
          <w:szCs w:val="24"/>
          <w:lang w:eastAsia="zh-CN"/>
        </w:rPr>
      </w:pPr>
      <w:r w:rsidRPr="001A0A96">
        <w:rPr>
          <w:rFonts w:ascii="宋体" w:eastAsia="宋体" w:hAnsi="宋体" w:cs="宋体"/>
          <w:spacing w:val="2"/>
          <w:sz w:val="24"/>
          <w:szCs w:val="24"/>
          <w:lang w:eastAsia="zh-CN"/>
        </w:rPr>
        <w:t>公司开展远期结售汇业务的资金来源为自有资金</w:t>
      </w:r>
      <w:r>
        <w:rPr>
          <w:rFonts w:ascii="宋体" w:eastAsia="宋体" w:hAnsi="宋体" w:cs="宋体"/>
          <w:spacing w:val="2"/>
          <w:sz w:val="24"/>
          <w:szCs w:val="24"/>
          <w:lang w:eastAsia="zh-CN"/>
        </w:rPr>
        <w:t>。</w:t>
      </w:r>
    </w:p>
    <w:p w14:paraId="3F6D5D4E" w14:textId="4183D057" w:rsidR="001A0A96" w:rsidRPr="00635A3E" w:rsidRDefault="001A0A96" w:rsidP="00635A3E">
      <w:pPr>
        <w:pStyle w:val="1"/>
        <w:spacing w:before="120" w:after="120" w:line="360" w:lineRule="auto"/>
        <w:ind w:firstLineChars="200" w:firstLine="486"/>
        <w:rPr>
          <w:rFonts w:ascii="宋体" w:eastAsia="宋体" w:hAnsi="宋体" w:cs="宋体"/>
          <w:spacing w:val="2"/>
          <w:sz w:val="24"/>
          <w:szCs w:val="24"/>
          <w:lang w:eastAsia="zh-CN"/>
        </w:rPr>
      </w:pPr>
      <w:r w:rsidRPr="00635A3E">
        <w:rPr>
          <w:rFonts w:ascii="宋体" w:eastAsia="宋体" w:hAnsi="宋体" w:cs="宋体" w:hint="eastAsia"/>
          <w:spacing w:val="2"/>
          <w:sz w:val="24"/>
          <w:szCs w:val="24"/>
          <w:lang w:eastAsia="zh-CN"/>
        </w:rPr>
        <w:t>（四）交易方式</w:t>
      </w:r>
    </w:p>
    <w:p w14:paraId="2ED46ED9" w14:textId="7F689D60" w:rsidR="001A0A96" w:rsidRDefault="001A0A96" w:rsidP="001A0A96">
      <w:pPr>
        <w:spacing w:beforeLines="50" w:before="120" w:afterLines="50" w:after="120" w:line="360" w:lineRule="auto"/>
        <w:ind w:firstLineChars="200" w:firstLine="484"/>
        <w:rPr>
          <w:rFonts w:ascii="宋体" w:eastAsia="宋体" w:hAnsi="宋体" w:cs="宋体"/>
          <w:spacing w:val="2"/>
          <w:sz w:val="24"/>
          <w:szCs w:val="24"/>
          <w:lang w:eastAsia="zh-CN"/>
        </w:rPr>
      </w:pPr>
      <w:r w:rsidRPr="001A0A96">
        <w:rPr>
          <w:rFonts w:ascii="宋体" w:eastAsia="宋体" w:hAnsi="宋体" w:cs="宋体"/>
          <w:spacing w:val="2"/>
          <w:sz w:val="24"/>
          <w:szCs w:val="24"/>
          <w:lang w:eastAsia="zh-CN"/>
        </w:rPr>
        <w:t>公司以</w:t>
      </w:r>
      <w:proofErr w:type="gramStart"/>
      <w:r w:rsidRPr="001A0A96">
        <w:rPr>
          <w:rFonts w:ascii="宋体" w:eastAsia="宋体" w:hAnsi="宋体" w:cs="宋体"/>
          <w:spacing w:val="2"/>
          <w:sz w:val="24"/>
          <w:szCs w:val="24"/>
          <w:lang w:eastAsia="zh-CN"/>
        </w:rPr>
        <w:t>真实业务</w:t>
      </w:r>
      <w:proofErr w:type="gramEnd"/>
      <w:r w:rsidRPr="001A0A96">
        <w:rPr>
          <w:rFonts w:ascii="宋体" w:eastAsia="宋体" w:hAnsi="宋体" w:cs="宋体"/>
          <w:spacing w:val="2"/>
          <w:sz w:val="24"/>
          <w:szCs w:val="24"/>
          <w:lang w:eastAsia="zh-CN"/>
        </w:rPr>
        <w:t>为依托，在锁定未来时点外汇交易成本和利润的前提下，与外汇指定银行协商签订远期结售汇协议，约定未来办理结汇或售汇的外币币种、金额、汇率和期限，到期按照协议约定办理结售汇业务。</w:t>
      </w:r>
    </w:p>
    <w:p w14:paraId="091EDE10" w14:textId="73F3D851" w:rsidR="00F370D9" w:rsidRPr="00635A3E" w:rsidRDefault="00F370D9" w:rsidP="00635A3E">
      <w:pPr>
        <w:pStyle w:val="1"/>
        <w:spacing w:before="120" w:after="120" w:line="360" w:lineRule="auto"/>
        <w:ind w:firstLineChars="200" w:firstLine="486"/>
        <w:rPr>
          <w:rFonts w:ascii="宋体" w:eastAsia="宋体" w:hAnsi="宋体" w:cs="宋体"/>
          <w:spacing w:val="2"/>
          <w:sz w:val="24"/>
          <w:szCs w:val="24"/>
          <w:lang w:eastAsia="zh-CN"/>
        </w:rPr>
      </w:pPr>
      <w:r w:rsidRPr="00635A3E">
        <w:rPr>
          <w:rFonts w:ascii="宋体" w:eastAsia="宋体" w:hAnsi="宋体" w:cs="宋体" w:hint="eastAsia"/>
          <w:spacing w:val="2"/>
          <w:sz w:val="24"/>
          <w:szCs w:val="24"/>
          <w:lang w:eastAsia="zh-CN"/>
        </w:rPr>
        <w:t>二、</w:t>
      </w:r>
      <w:r w:rsidR="00AD019D">
        <w:rPr>
          <w:rFonts w:ascii="宋体" w:eastAsia="宋体" w:hAnsi="宋体" w:cs="宋体" w:hint="eastAsia"/>
          <w:spacing w:val="2"/>
          <w:sz w:val="24"/>
          <w:szCs w:val="24"/>
          <w:lang w:eastAsia="zh-CN"/>
        </w:rPr>
        <w:t>履行的</w:t>
      </w:r>
      <w:r w:rsidRPr="00635A3E">
        <w:rPr>
          <w:rFonts w:ascii="宋体" w:eastAsia="宋体" w:hAnsi="宋体" w:cs="宋体" w:hint="eastAsia"/>
          <w:spacing w:val="2"/>
          <w:sz w:val="24"/>
          <w:szCs w:val="24"/>
          <w:lang w:eastAsia="zh-CN"/>
        </w:rPr>
        <w:t>审议程序</w:t>
      </w:r>
    </w:p>
    <w:p w14:paraId="580794D7" w14:textId="07BF7DD7" w:rsidR="00BD25DD" w:rsidRPr="00635A3E" w:rsidRDefault="00AD019D" w:rsidP="00AD019D">
      <w:pPr>
        <w:spacing w:beforeLines="50" w:before="120" w:afterLines="50" w:after="120" w:line="360" w:lineRule="auto"/>
        <w:ind w:firstLineChars="200" w:firstLine="484"/>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2025年3月26日公司召开了</w:t>
      </w:r>
      <w:r w:rsidR="00F370D9" w:rsidRPr="00F370D9">
        <w:rPr>
          <w:rFonts w:ascii="宋体" w:eastAsia="宋体" w:hAnsi="宋体" w:cs="宋体"/>
          <w:spacing w:val="2"/>
          <w:sz w:val="24"/>
          <w:szCs w:val="24"/>
          <w:lang w:eastAsia="zh-CN"/>
        </w:rPr>
        <w:t>第</w:t>
      </w:r>
      <w:r w:rsidR="00F370D9" w:rsidRPr="00C1007C">
        <w:rPr>
          <w:rFonts w:ascii="宋体" w:eastAsia="宋体" w:hAnsi="宋体" w:cs="宋体"/>
          <w:spacing w:val="2"/>
          <w:sz w:val="24"/>
          <w:szCs w:val="24"/>
          <w:lang w:eastAsia="zh-CN"/>
        </w:rPr>
        <w:t>八</w:t>
      </w:r>
      <w:r w:rsidR="00F370D9" w:rsidRPr="00F370D9">
        <w:rPr>
          <w:rFonts w:ascii="宋体" w:eastAsia="宋体" w:hAnsi="宋体" w:cs="宋体"/>
          <w:spacing w:val="2"/>
          <w:sz w:val="24"/>
          <w:szCs w:val="24"/>
          <w:lang w:eastAsia="zh-CN"/>
        </w:rPr>
        <w:t>届董事会第</w:t>
      </w:r>
      <w:r w:rsidR="00F370D9" w:rsidRPr="00C1007C">
        <w:rPr>
          <w:rFonts w:ascii="宋体" w:eastAsia="宋体" w:hAnsi="宋体" w:cs="宋体"/>
          <w:spacing w:val="2"/>
          <w:sz w:val="24"/>
          <w:szCs w:val="24"/>
          <w:lang w:eastAsia="zh-CN"/>
        </w:rPr>
        <w:t>二十九</w:t>
      </w:r>
      <w:r w:rsidR="00F370D9" w:rsidRPr="00F370D9">
        <w:rPr>
          <w:rFonts w:ascii="宋体" w:eastAsia="宋体" w:hAnsi="宋体" w:cs="宋体"/>
          <w:spacing w:val="2"/>
          <w:sz w:val="24"/>
          <w:szCs w:val="24"/>
          <w:lang w:eastAsia="zh-CN"/>
        </w:rPr>
        <w:t>次会议</w:t>
      </w:r>
      <w:r w:rsidR="00F370D9" w:rsidRPr="00C1007C">
        <w:rPr>
          <w:rFonts w:ascii="宋体" w:eastAsia="宋体" w:hAnsi="宋体" w:cs="宋体"/>
          <w:spacing w:val="2"/>
          <w:sz w:val="24"/>
          <w:szCs w:val="24"/>
          <w:lang w:eastAsia="zh-CN"/>
        </w:rPr>
        <w:t>、第八届监事会第二十二次会议</w:t>
      </w:r>
      <w:r w:rsidR="00F370D9" w:rsidRPr="00F370D9">
        <w:rPr>
          <w:rFonts w:ascii="宋体" w:eastAsia="宋体" w:hAnsi="宋体" w:cs="宋体"/>
          <w:spacing w:val="2"/>
          <w:sz w:val="24"/>
          <w:szCs w:val="24"/>
          <w:lang w:eastAsia="zh-CN"/>
        </w:rPr>
        <w:t>，分别审议通过了《关于</w:t>
      </w:r>
      <w:r w:rsidR="00993C49">
        <w:rPr>
          <w:rFonts w:ascii="宋体" w:eastAsia="宋体" w:hAnsi="宋体" w:cs="宋体"/>
          <w:spacing w:val="2"/>
          <w:sz w:val="24"/>
          <w:szCs w:val="24"/>
          <w:lang w:eastAsia="zh-CN"/>
        </w:rPr>
        <w:t>公司</w:t>
      </w:r>
      <w:r w:rsidR="00F370D9" w:rsidRPr="00F370D9">
        <w:rPr>
          <w:rFonts w:ascii="宋体" w:eastAsia="宋体" w:hAnsi="宋体" w:cs="宋体"/>
          <w:spacing w:val="2"/>
          <w:sz w:val="24"/>
          <w:szCs w:val="24"/>
          <w:lang w:eastAsia="zh-CN"/>
        </w:rPr>
        <w:t>开展远期结售汇业务的议案》，</w:t>
      </w:r>
      <w:r w:rsidRPr="00AD019D">
        <w:rPr>
          <w:rFonts w:ascii="宋体" w:eastAsia="宋体" w:hAnsi="宋体" w:cs="宋体" w:hint="eastAsia"/>
          <w:spacing w:val="2"/>
          <w:sz w:val="24"/>
          <w:szCs w:val="24"/>
          <w:lang w:eastAsia="zh-CN"/>
        </w:rPr>
        <w:t>同意公司开展远期结售汇业务，并授权公司执行董事签署相关文件、协议、授权书等，在授权期内累计金额不超过</w:t>
      </w:r>
      <w:r w:rsidR="00E64664">
        <w:rPr>
          <w:rFonts w:ascii="宋体" w:eastAsia="宋体" w:hAnsi="宋体" w:cs="宋体" w:hint="eastAsia"/>
          <w:spacing w:val="2"/>
          <w:sz w:val="24"/>
          <w:szCs w:val="24"/>
          <w:lang w:eastAsia="zh-CN"/>
        </w:rPr>
        <w:t>5,000</w:t>
      </w:r>
      <w:r>
        <w:rPr>
          <w:rFonts w:ascii="宋体" w:eastAsia="宋体" w:hAnsi="宋体" w:cs="宋体" w:hint="eastAsia"/>
          <w:spacing w:val="2"/>
          <w:sz w:val="24"/>
          <w:szCs w:val="24"/>
          <w:lang w:eastAsia="zh-CN"/>
        </w:rPr>
        <w:t>.00</w:t>
      </w:r>
      <w:r w:rsidRPr="00AD019D">
        <w:rPr>
          <w:rFonts w:ascii="宋体" w:eastAsia="宋体" w:hAnsi="宋体" w:cs="宋体" w:hint="eastAsia"/>
          <w:spacing w:val="2"/>
          <w:sz w:val="24"/>
          <w:szCs w:val="24"/>
          <w:lang w:eastAsia="zh-CN"/>
        </w:rPr>
        <w:t>万美</w:t>
      </w:r>
      <w:bookmarkStart w:id="0" w:name="_GoBack"/>
      <w:bookmarkEnd w:id="0"/>
      <w:r w:rsidRPr="00AD019D">
        <w:rPr>
          <w:rFonts w:ascii="宋体" w:eastAsia="宋体" w:hAnsi="宋体" w:cs="宋体" w:hint="eastAsia"/>
          <w:spacing w:val="2"/>
          <w:sz w:val="24"/>
          <w:szCs w:val="24"/>
          <w:lang w:eastAsia="zh-CN"/>
        </w:rPr>
        <w:t>元，授权期间自本次董事会审议通过之日起至下一年度董事会审议通过上述议案之日止。</w:t>
      </w:r>
    </w:p>
    <w:p w14:paraId="1D9D5A6C" w14:textId="68516331" w:rsidR="00AD019D" w:rsidRPr="00AD019D" w:rsidRDefault="00AD019D" w:rsidP="00AD019D">
      <w:pPr>
        <w:pStyle w:val="1"/>
        <w:spacing w:before="120" w:after="120" w:line="360" w:lineRule="auto"/>
        <w:ind w:firstLineChars="200" w:firstLine="486"/>
        <w:rPr>
          <w:rFonts w:ascii="宋体" w:eastAsia="宋体" w:hAnsi="宋体" w:cs="宋体"/>
          <w:spacing w:val="2"/>
          <w:sz w:val="24"/>
          <w:szCs w:val="24"/>
          <w:lang w:eastAsia="zh-CN"/>
        </w:rPr>
      </w:pPr>
      <w:r w:rsidRPr="00AD019D">
        <w:rPr>
          <w:rFonts w:ascii="宋体" w:eastAsia="宋体" w:hAnsi="宋体" w:cs="宋体" w:hint="eastAsia"/>
          <w:spacing w:val="2"/>
          <w:sz w:val="24"/>
          <w:szCs w:val="24"/>
          <w:lang w:eastAsia="zh-CN"/>
        </w:rPr>
        <w:t>三、远期结售汇业务的可行性分析</w:t>
      </w:r>
    </w:p>
    <w:p w14:paraId="35E5DEA3" w14:textId="34198F43" w:rsidR="00800E43" w:rsidRPr="006D350C" w:rsidRDefault="00362E17" w:rsidP="002D527C">
      <w:pPr>
        <w:spacing w:beforeLines="50" w:before="120" w:afterLines="50" w:after="120" w:line="360" w:lineRule="auto"/>
        <w:ind w:firstLineChars="200" w:firstLine="480"/>
        <w:jc w:val="both"/>
        <w:rPr>
          <w:rFonts w:ascii="宋体" w:eastAsia="宋体" w:hAnsi="宋体" w:cs="宋体"/>
          <w:sz w:val="24"/>
          <w:szCs w:val="24"/>
          <w:lang w:eastAsia="zh-CN"/>
        </w:rPr>
      </w:pPr>
      <w:r w:rsidRPr="006D350C">
        <w:rPr>
          <w:rFonts w:ascii="宋体" w:eastAsia="宋体" w:hAnsi="宋体" w:cs="宋体"/>
          <w:sz w:val="24"/>
          <w:szCs w:val="24"/>
          <w:lang w:eastAsia="zh-CN"/>
        </w:rPr>
        <w:t>公司在授权额度内开展与银行的远期结售汇业务，是出于从锁定结售汇成本的角度考虑，降低汇率波动对公司生产经营的影响，使公司保持较为稳定的利润水平，符合公司未来经营发展需要，风险可控，无损害公司和中小股东的利益行为。</w:t>
      </w:r>
    </w:p>
    <w:p w14:paraId="22564E74" w14:textId="2920FBA7" w:rsidR="00800E43" w:rsidRPr="00635A3E" w:rsidRDefault="00C1007C" w:rsidP="00AD019D">
      <w:pPr>
        <w:pStyle w:val="1"/>
        <w:spacing w:before="120" w:after="120" w:line="360" w:lineRule="auto"/>
        <w:ind w:firstLineChars="200" w:firstLine="486"/>
        <w:rPr>
          <w:rFonts w:ascii="宋体" w:eastAsia="宋体" w:hAnsi="宋体" w:cs="宋体"/>
          <w:spacing w:val="2"/>
          <w:sz w:val="24"/>
          <w:szCs w:val="24"/>
          <w:lang w:eastAsia="zh-CN"/>
        </w:rPr>
      </w:pPr>
      <w:r w:rsidRPr="00635A3E">
        <w:rPr>
          <w:rFonts w:ascii="宋体" w:eastAsia="宋体" w:hAnsi="宋体" w:cs="宋体"/>
          <w:spacing w:val="2"/>
          <w:sz w:val="24"/>
          <w:szCs w:val="24"/>
          <w:lang w:eastAsia="zh-CN"/>
        </w:rPr>
        <w:t>四</w:t>
      </w:r>
      <w:r w:rsidR="00362E17" w:rsidRPr="00635A3E">
        <w:rPr>
          <w:rFonts w:ascii="宋体" w:eastAsia="宋体" w:hAnsi="宋体" w:cs="宋体"/>
          <w:spacing w:val="2"/>
          <w:sz w:val="24"/>
          <w:szCs w:val="24"/>
          <w:lang w:eastAsia="zh-CN"/>
        </w:rPr>
        <w:t>、</w:t>
      </w:r>
      <w:r w:rsidR="00362E17" w:rsidRPr="006D350C">
        <w:rPr>
          <w:rFonts w:ascii="宋体" w:eastAsia="宋体" w:hAnsi="宋体" w:cs="宋体"/>
          <w:spacing w:val="2"/>
          <w:sz w:val="24"/>
          <w:szCs w:val="24"/>
          <w:lang w:eastAsia="zh-CN"/>
        </w:rPr>
        <w:t>远</w:t>
      </w:r>
      <w:r w:rsidR="00362E17" w:rsidRPr="00635A3E">
        <w:rPr>
          <w:rFonts w:ascii="宋体" w:eastAsia="宋体" w:hAnsi="宋体" w:cs="宋体"/>
          <w:spacing w:val="2"/>
          <w:sz w:val="24"/>
          <w:szCs w:val="24"/>
          <w:lang w:eastAsia="zh-CN"/>
        </w:rPr>
        <w:t>期结</w:t>
      </w:r>
      <w:r w:rsidR="00362E17" w:rsidRPr="006D350C">
        <w:rPr>
          <w:rFonts w:ascii="宋体" w:eastAsia="宋体" w:hAnsi="宋体" w:cs="宋体"/>
          <w:spacing w:val="2"/>
          <w:sz w:val="24"/>
          <w:szCs w:val="24"/>
          <w:lang w:eastAsia="zh-CN"/>
        </w:rPr>
        <w:t>售</w:t>
      </w:r>
      <w:r w:rsidR="00362E17" w:rsidRPr="00635A3E">
        <w:rPr>
          <w:rFonts w:ascii="宋体" w:eastAsia="宋体" w:hAnsi="宋体" w:cs="宋体"/>
          <w:spacing w:val="2"/>
          <w:sz w:val="24"/>
          <w:szCs w:val="24"/>
          <w:lang w:eastAsia="zh-CN"/>
        </w:rPr>
        <w:t>汇</w:t>
      </w:r>
      <w:r w:rsidR="00362E17" w:rsidRPr="006D350C">
        <w:rPr>
          <w:rFonts w:ascii="宋体" w:eastAsia="宋体" w:hAnsi="宋体" w:cs="宋体"/>
          <w:spacing w:val="2"/>
          <w:sz w:val="24"/>
          <w:szCs w:val="24"/>
          <w:lang w:eastAsia="zh-CN"/>
        </w:rPr>
        <w:t>业</w:t>
      </w:r>
      <w:r w:rsidR="00362E17" w:rsidRPr="00635A3E">
        <w:rPr>
          <w:rFonts w:ascii="宋体" w:eastAsia="宋体" w:hAnsi="宋体" w:cs="宋体"/>
          <w:spacing w:val="2"/>
          <w:sz w:val="24"/>
          <w:szCs w:val="24"/>
          <w:lang w:eastAsia="zh-CN"/>
        </w:rPr>
        <w:t>务风</w:t>
      </w:r>
      <w:r w:rsidR="00362E17" w:rsidRPr="006D350C">
        <w:rPr>
          <w:rFonts w:ascii="宋体" w:eastAsia="宋体" w:hAnsi="宋体" w:cs="宋体"/>
          <w:spacing w:val="2"/>
          <w:sz w:val="24"/>
          <w:szCs w:val="24"/>
          <w:lang w:eastAsia="zh-CN"/>
        </w:rPr>
        <w:t>险</w:t>
      </w:r>
      <w:r w:rsidR="00362E17" w:rsidRPr="00635A3E">
        <w:rPr>
          <w:rFonts w:ascii="宋体" w:eastAsia="宋体" w:hAnsi="宋体" w:cs="宋体"/>
          <w:spacing w:val="2"/>
          <w:sz w:val="24"/>
          <w:szCs w:val="24"/>
          <w:lang w:eastAsia="zh-CN"/>
        </w:rPr>
        <w:t>分析</w:t>
      </w:r>
    </w:p>
    <w:p w14:paraId="640C7DD2" w14:textId="77777777" w:rsidR="00800E43" w:rsidRPr="006D350C" w:rsidRDefault="00362E17" w:rsidP="002D527C">
      <w:pPr>
        <w:spacing w:beforeLines="50" w:before="120" w:afterLines="50" w:after="120" w:line="360" w:lineRule="auto"/>
        <w:ind w:firstLineChars="200" w:firstLine="480"/>
        <w:jc w:val="both"/>
        <w:rPr>
          <w:rFonts w:ascii="宋体" w:eastAsia="宋体" w:hAnsi="宋体" w:cs="宋体"/>
          <w:sz w:val="24"/>
          <w:szCs w:val="24"/>
          <w:lang w:eastAsia="zh-CN"/>
        </w:rPr>
      </w:pPr>
      <w:r w:rsidRPr="006D350C">
        <w:rPr>
          <w:rFonts w:ascii="宋体" w:eastAsia="宋体" w:hAnsi="宋体" w:cs="宋体"/>
          <w:sz w:val="24"/>
          <w:szCs w:val="24"/>
          <w:lang w:eastAsia="zh-CN"/>
        </w:rPr>
        <w:t>远期结售汇业务可以在汇率发生大幅波动时</w:t>
      </w:r>
      <w:r w:rsidRPr="006D350C">
        <w:rPr>
          <w:rFonts w:ascii="宋体" w:eastAsia="宋体" w:hAnsi="宋体" w:cs="宋体"/>
          <w:spacing w:val="-94"/>
          <w:sz w:val="24"/>
          <w:szCs w:val="24"/>
          <w:lang w:eastAsia="zh-CN"/>
        </w:rPr>
        <w:t>，</w:t>
      </w:r>
      <w:r w:rsidRPr="006D350C">
        <w:rPr>
          <w:rFonts w:ascii="宋体" w:eastAsia="宋体" w:hAnsi="宋体" w:cs="宋体"/>
          <w:sz w:val="24"/>
          <w:szCs w:val="24"/>
          <w:lang w:eastAsia="zh-CN"/>
        </w:rPr>
        <w:t>降低汇率波动对公司生产经营的影响，但开展远期结售汇业务交易仍存在一定的风险：</w:t>
      </w:r>
    </w:p>
    <w:p w14:paraId="4E43DEA5" w14:textId="77777777" w:rsidR="00800E43" w:rsidRPr="006D350C" w:rsidRDefault="00362E17" w:rsidP="002D527C">
      <w:pPr>
        <w:spacing w:beforeLines="50" w:before="120" w:afterLines="50" w:after="120" w:line="360" w:lineRule="auto"/>
        <w:ind w:firstLineChars="200" w:firstLine="480"/>
        <w:jc w:val="both"/>
        <w:rPr>
          <w:rFonts w:ascii="宋体" w:eastAsia="宋体" w:hAnsi="宋体" w:cs="宋体"/>
          <w:sz w:val="24"/>
          <w:szCs w:val="24"/>
          <w:lang w:eastAsia="zh-CN"/>
        </w:rPr>
      </w:pPr>
      <w:r w:rsidRPr="006D350C">
        <w:rPr>
          <w:rFonts w:ascii="宋体" w:eastAsia="宋体" w:hAnsi="宋体" w:cs="宋体"/>
          <w:sz w:val="24"/>
          <w:szCs w:val="24"/>
          <w:lang w:eastAsia="zh-CN"/>
        </w:rPr>
        <w:t>1、汇</w:t>
      </w:r>
      <w:r w:rsidRPr="006D350C">
        <w:rPr>
          <w:rFonts w:ascii="宋体" w:eastAsia="宋体" w:hAnsi="宋体" w:cs="宋体"/>
          <w:spacing w:val="2"/>
          <w:sz w:val="24"/>
          <w:szCs w:val="24"/>
          <w:lang w:eastAsia="zh-CN"/>
        </w:rPr>
        <w:t>率</w:t>
      </w:r>
      <w:r w:rsidRPr="006D350C">
        <w:rPr>
          <w:rFonts w:ascii="宋体" w:eastAsia="宋体" w:hAnsi="宋体" w:cs="宋体"/>
          <w:sz w:val="24"/>
          <w:szCs w:val="24"/>
          <w:lang w:eastAsia="zh-CN"/>
        </w:rPr>
        <w:t>波动</w:t>
      </w:r>
      <w:r w:rsidRPr="006D350C">
        <w:rPr>
          <w:rFonts w:ascii="宋体" w:eastAsia="宋体" w:hAnsi="宋体" w:cs="宋体"/>
          <w:spacing w:val="2"/>
          <w:sz w:val="24"/>
          <w:szCs w:val="24"/>
          <w:lang w:eastAsia="zh-CN"/>
        </w:rPr>
        <w:t>风</w:t>
      </w:r>
      <w:r w:rsidRPr="006D350C">
        <w:rPr>
          <w:rFonts w:ascii="宋体" w:eastAsia="宋体" w:hAnsi="宋体" w:cs="宋体"/>
          <w:sz w:val="24"/>
          <w:szCs w:val="24"/>
          <w:lang w:eastAsia="zh-CN"/>
        </w:rPr>
        <w:t>险：</w:t>
      </w:r>
      <w:r w:rsidRPr="006D350C">
        <w:rPr>
          <w:rFonts w:ascii="宋体" w:eastAsia="宋体" w:hAnsi="宋体" w:cs="宋体"/>
          <w:spacing w:val="2"/>
          <w:sz w:val="24"/>
          <w:szCs w:val="24"/>
          <w:lang w:eastAsia="zh-CN"/>
        </w:rPr>
        <w:t>在</w:t>
      </w:r>
      <w:r w:rsidRPr="006D350C">
        <w:rPr>
          <w:rFonts w:ascii="宋体" w:eastAsia="宋体" w:hAnsi="宋体" w:cs="宋体"/>
          <w:sz w:val="24"/>
          <w:szCs w:val="24"/>
          <w:lang w:eastAsia="zh-CN"/>
        </w:rPr>
        <w:t>汇率行</w:t>
      </w:r>
      <w:r w:rsidRPr="006D350C">
        <w:rPr>
          <w:rFonts w:ascii="宋体" w:eastAsia="宋体" w:hAnsi="宋体" w:cs="宋体"/>
          <w:spacing w:val="2"/>
          <w:sz w:val="24"/>
          <w:szCs w:val="24"/>
          <w:lang w:eastAsia="zh-CN"/>
        </w:rPr>
        <w:t>情</w:t>
      </w:r>
      <w:r w:rsidRPr="006D350C">
        <w:rPr>
          <w:rFonts w:ascii="宋体" w:eastAsia="宋体" w:hAnsi="宋体" w:cs="宋体"/>
          <w:sz w:val="24"/>
          <w:szCs w:val="24"/>
          <w:lang w:eastAsia="zh-CN"/>
        </w:rPr>
        <w:t>变动</w:t>
      </w:r>
      <w:r w:rsidRPr="006D350C">
        <w:rPr>
          <w:rFonts w:ascii="宋体" w:eastAsia="宋体" w:hAnsi="宋体" w:cs="宋体"/>
          <w:spacing w:val="2"/>
          <w:sz w:val="24"/>
          <w:szCs w:val="24"/>
          <w:lang w:eastAsia="zh-CN"/>
        </w:rPr>
        <w:t>较</w:t>
      </w:r>
      <w:r w:rsidRPr="006D350C">
        <w:rPr>
          <w:rFonts w:ascii="宋体" w:eastAsia="宋体" w:hAnsi="宋体" w:cs="宋体"/>
          <w:sz w:val="24"/>
          <w:szCs w:val="24"/>
          <w:lang w:eastAsia="zh-CN"/>
        </w:rPr>
        <w:t>大的</w:t>
      </w:r>
      <w:r w:rsidRPr="006D350C">
        <w:rPr>
          <w:rFonts w:ascii="宋体" w:eastAsia="宋体" w:hAnsi="宋体" w:cs="宋体"/>
          <w:spacing w:val="2"/>
          <w:sz w:val="24"/>
          <w:szCs w:val="24"/>
          <w:lang w:eastAsia="zh-CN"/>
        </w:rPr>
        <w:t>情</w:t>
      </w:r>
      <w:r w:rsidRPr="006D350C">
        <w:rPr>
          <w:rFonts w:ascii="宋体" w:eastAsia="宋体" w:hAnsi="宋体" w:cs="宋体"/>
          <w:sz w:val="24"/>
          <w:szCs w:val="24"/>
          <w:lang w:eastAsia="zh-CN"/>
        </w:rPr>
        <w:t>况下，</w:t>
      </w:r>
      <w:r w:rsidRPr="006D350C">
        <w:rPr>
          <w:rFonts w:ascii="宋体" w:eastAsia="宋体" w:hAnsi="宋体" w:cs="宋体"/>
          <w:spacing w:val="2"/>
          <w:sz w:val="24"/>
          <w:szCs w:val="24"/>
          <w:lang w:eastAsia="zh-CN"/>
        </w:rPr>
        <w:t>在</w:t>
      </w:r>
      <w:r w:rsidRPr="006D350C">
        <w:rPr>
          <w:rFonts w:ascii="宋体" w:eastAsia="宋体" w:hAnsi="宋体" w:cs="宋体"/>
          <w:sz w:val="24"/>
          <w:szCs w:val="24"/>
          <w:lang w:eastAsia="zh-CN"/>
        </w:rPr>
        <w:t>远期</w:t>
      </w:r>
      <w:r w:rsidRPr="006D350C">
        <w:rPr>
          <w:rFonts w:ascii="宋体" w:eastAsia="宋体" w:hAnsi="宋体" w:cs="宋体"/>
          <w:spacing w:val="2"/>
          <w:sz w:val="24"/>
          <w:szCs w:val="24"/>
          <w:lang w:eastAsia="zh-CN"/>
        </w:rPr>
        <w:t>结</w:t>
      </w:r>
      <w:r w:rsidRPr="006D350C">
        <w:rPr>
          <w:rFonts w:ascii="宋体" w:eastAsia="宋体" w:hAnsi="宋体" w:cs="宋体"/>
          <w:sz w:val="24"/>
          <w:szCs w:val="24"/>
          <w:lang w:eastAsia="zh-CN"/>
        </w:rPr>
        <w:t>售汇</w:t>
      </w:r>
      <w:r w:rsidRPr="006D350C">
        <w:rPr>
          <w:rFonts w:ascii="宋体" w:eastAsia="宋体" w:hAnsi="宋体" w:cs="宋体"/>
          <w:spacing w:val="2"/>
          <w:sz w:val="24"/>
          <w:szCs w:val="24"/>
          <w:lang w:eastAsia="zh-CN"/>
        </w:rPr>
        <w:t>确</w:t>
      </w:r>
      <w:r w:rsidRPr="006D350C">
        <w:rPr>
          <w:rFonts w:ascii="宋体" w:eastAsia="宋体" w:hAnsi="宋体" w:cs="宋体"/>
          <w:sz w:val="24"/>
          <w:szCs w:val="24"/>
          <w:lang w:eastAsia="zh-CN"/>
        </w:rPr>
        <w:t>认书约定的远期结售汇汇率低于实时汇率时，会造成汇兑损失；</w:t>
      </w:r>
    </w:p>
    <w:p w14:paraId="1CC1355D" w14:textId="77777777" w:rsidR="00800E43" w:rsidRPr="006D350C" w:rsidRDefault="00362E17" w:rsidP="002D527C">
      <w:pPr>
        <w:spacing w:beforeLines="50" w:before="120" w:afterLines="50" w:after="120" w:line="360" w:lineRule="auto"/>
        <w:ind w:firstLineChars="200" w:firstLine="480"/>
        <w:jc w:val="both"/>
        <w:rPr>
          <w:rFonts w:ascii="宋体" w:eastAsia="宋体" w:hAnsi="宋体" w:cs="宋体"/>
          <w:sz w:val="24"/>
          <w:szCs w:val="24"/>
          <w:lang w:eastAsia="zh-CN"/>
        </w:rPr>
      </w:pPr>
      <w:r w:rsidRPr="006D350C">
        <w:rPr>
          <w:rFonts w:ascii="宋体" w:eastAsia="宋体" w:hAnsi="宋体" w:cs="宋体"/>
          <w:sz w:val="24"/>
          <w:szCs w:val="24"/>
          <w:lang w:eastAsia="zh-CN"/>
        </w:rPr>
        <w:t>2</w:t>
      </w:r>
      <w:r w:rsidRPr="006D350C">
        <w:rPr>
          <w:rFonts w:ascii="宋体" w:eastAsia="宋体" w:hAnsi="宋体" w:cs="宋体"/>
          <w:spacing w:val="-72"/>
          <w:sz w:val="24"/>
          <w:szCs w:val="24"/>
          <w:lang w:eastAsia="zh-CN"/>
        </w:rPr>
        <w:t>、</w:t>
      </w:r>
      <w:r w:rsidRPr="006D350C">
        <w:rPr>
          <w:rFonts w:ascii="宋体" w:eastAsia="宋体" w:hAnsi="宋体" w:cs="宋体"/>
          <w:sz w:val="24"/>
          <w:szCs w:val="24"/>
          <w:lang w:eastAsia="zh-CN"/>
        </w:rPr>
        <w:t>客户违约风险</w:t>
      </w:r>
      <w:r w:rsidRPr="006D350C">
        <w:rPr>
          <w:rFonts w:ascii="宋体" w:eastAsia="宋体" w:hAnsi="宋体" w:cs="宋体"/>
          <w:spacing w:val="-72"/>
          <w:sz w:val="24"/>
          <w:szCs w:val="24"/>
          <w:lang w:eastAsia="zh-CN"/>
        </w:rPr>
        <w:t>：</w:t>
      </w:r>
      <w:r w:rsidRPr="006D350C">
        <w:rPr>
          <w:rFonts w:ascii="宋体" w:eastAsia="宋体" w:hAnsi="宋体" w:cs="宋体"/>
          <w:sz w:val="24"/>
          <w:szCs w:val="24"/>
          <w:lang w:eastAsia="zh-CN"/>
        </w:rPr>
        <w:t>客</w:t>
      </w:r>
      <w:r w:rsidRPr="006D350C">
        <w:rPr>
          <w:rFonts w:ascii="宋体" w:eastAsia="宋体" w:hAnsi="宋体" w:cs="宋体"/>
          <w:spacing w:val="2"/>
          <w:sz w:val="24"/>
          <w:szCs w:val="24"/>
          <w:lang w:eastAsia="zh-CN"/>
        </w:rPr>
        <w:t>户</w:t>
      </w:r>
      <w:r w:rsidRPr="006D350C">
        <w:rPr>
          <w:rFonts w:ascii="宋体" w:eastAsia="宋体" w:hAnsi="宋体" w:cs="宋体"/>
          <w:sz w:val="24"/>
          <w:szCs w:val="24"/>
          <w:lang w:eastAsia="zh-CN"/>
        </w:rPr>
        <w:t>应收账款发生逾期</w:t>
      </w:r>
      <w:r w:rsidRPr="006D350C">
        <w:rPr>
          <w:rFonts w:ascii="宋体" w:eastAsia="宋体" w:hAnsi="宋体" w:cs="宋体"/>
          <w:spacing w:val="-72"/>
          <w:sz w:val="24"/>
          <w:szCs w:val="24"/>
          <w:lang w:eastAsia="zh-CN"/>
        </w:rPr>
        <w:t>，</w:t>
      </w:r>
      <w:r w:rsidRPr="006D350C">
        <w:rPr>
          <w:rFonts w:ascii="宋体" w:eastAsia="宋体" w:hAnsi="宋体" w:cs="宋体"/>
          <w:sz w:val="24"/>
          <w:szCs w:val="24"/>
          <w:lang w:eastAsia="zh-CN"/>
        </w:rPr>
        <w:t>货</w:t>
      </w:r>
      <w:r w:rsidRPr="006D350C">
        <w:rPr>
          <w:rFonts w:ascii="宋体" w:eastAsia="宋体" w:hAnsi="宋体" w:cs="宋体"/>
          <w:spacing w:val="1"/>
          <w:sz w:val="24"/>
          <w:szCs w:val="24"/>
          <w:lang w:eastAsia="zh-CN"/>
        </w:rPr>
        <w:t>款</w:t>
      </w:r>
      <w:r w:rsidRPr="006D350C">
        <w:rPr>
          <w:rFonts w:ascii="宋体" w:eastAsia="宋体" w:hAnsi="宋体" w:cs="宋体"/>
          <w:sz w:val="24"/>
          <w:szCs w:val="24"/>
          <w:lang w:eastAsia="zh-CN"/>
        </w:rPr>
        <w:t>无法在预测的回款期收回，会造成远期结汇延期导致公司损失。</w:t>
      </w:r>
    </w:p>
    <w:p w14:paraId="2B312B5C" w14:textId="66CC9AD4" w:rsidR="007E37B8" w:rsidRPr="00635A3E" w:rsidRDefault="00C1007C" w:rsidP="00635A3E">
      <w:pPr>
        <w:pStyle w:val="1"/>
        <w:spacing w:before="120" w:after="120" w:line="360" w:lineRule="auto"/>
        <w:ind w:firstLineChars="200" w:firstLine="486"/>
        <w:rPr>
          <w:rFonts w:ascii="宋体" w:eastAsia="宋体" w:hAnsi="宋体" w:cs="宋体"/>
          <w:spacing w:val="2"/>
          <w:sz w:val="24"/>
          <w:szCs w:val="24"/>
          <w:lang w:eastAsia="zh-CN"/>
        </w:rPr>
      </w:pPr>
      <w:r w:rsidRPr="00635A3E">
        <w:rPr>
          <w:rFonts w:ascii="宋体" w:eastAsia="宋体" w:hAnsi="宋体" w:cs="宋体"/>
          <w:spacing w:val="2"/>
          <w:sz w:val="24"/>
          <w:szCs w:val="24"/>
          <w:lang w:eastAsia="zh-CN"/>
        </w:rPr>
        <w:t>五</w:t>
      </w:r>
      <w:r w:rsidR="00362E17" w:rsidRPr="00635A3E">
        <w:rPr>
          <w:rFonts w:ascii="宋体" w:eastAsia="宋体" w:hAnsi="宋体" w:cs="宋体"/>
          <w:spacing w:val="2"/>
          <w:sz w:val="24"/>
          <w:szCs w:val="24"/>
          <w:lang w:eastAsia="zh-CN"/>
        </w:rPr>
        <w:t>、</w:t>
      </w:r>
      <w:r w:rsidR="00362E17" w:rsidRPr="006D350C">
        <w:rPr>
          <w:rFonts w:ascii="宋体" w:eastAsia="宋体" w:hAnsi="宋体" w:cs="宋体"/>
          <w:spacing w:val="2"/>
          <w:sz w:val="24"/>
          <w:szCs w:val="24"/>
          <w:lang w:eastAsia="zh-CN"/>
        </w:rPr>
        <w:t>远</w:t>
      </w:r>
      <w:r w:rsidR="00362E17" w:rsidRPr="00635A3E">
        <w:rPr>
          <w:rFonts w:ascii="宋体" w:eastAsia="宋体" w:hAnsi="宋体" w:cs="宋体"/>
          <w:spacing w:val="2"/>
          <w:sz w:val="24"/>
          <w:szCs w:val="24"/>
          <w:lang w:eastAsia="zh-CN"/>
        </w:rPr>
        <w:t>期结</w:t>
      </w:r>
      <w:r w:rsidR="00362E17" w:rsidRPr="006D350C">
        <w:rPr>
          <w:rFonts w:ascii="宋体" w:eastAsia="宋体" w:hAnsi="宋体" w:cs="宋体"/>
          <w:spacing w:val="2"/>
          <w:sz w:val="24"/>
          <w:szCs w:val="24"/>
          <w:lang w:eastAsia="zh-CN"/>
        </w:rPr>
        <w:t>售</w:t>
      </w:r>
      <w:r w:rsidR="00362E17" w:rsidRPr="00635A3E">
        <w:rPr>
          <w:rFonts w:ascii="宋体" w:eastAsia="宋体" w:hAnsi="宋体" w:cs="宋体"/>
          <w:spacing w:val="2"/>
          <w:sz w:val="24"/>
          <w:szCs w:val="24"/>
          <w:lang w:eastAsia="zh-CN"/>
        </w:rPr>
        <w:t>汇</w:t>
      </w:r>
      <w:r w:rsidR="00362E17" w:rsidRPr="006D350C">
        <w:rPr>
          <w:rFonts w:ascii="宋体" w:eastAsia="宋体" w:hAnsi="宋体" w:cs="宋体"/>
          <w:spacing w:val="2"/>
          <w:sz w:val="24"/>
          <w:szCs w:val="24"/>
          <w:lang w:eastAsia="zh-CN"/>
        </w:rPr>
        <w:t>业</w:t>
      </w:r>
      <w:r w:rsidR="00362E17" w:rsidRPr="00635A3E">
        <w:rPr>
          <w:rFonts w:ascii="宋体" w:eastAsia="宋体" w:hAnsi="宋体" w:cs="宋体"/>
          <w:spacing w:val="2"/>
          <w:sz w:val="24"/>
          <w:szCs w:val="24"/>
          <w:lang w:eastAsia="zh-CN"/>
        </w:rPr>
        <w:t>务的</w:t>
      </w:r>
      <w:r w:rsidR="00362E17" w:rsidRPr="006D350C">
        <w:rPr>
          <w:rFonts w:ascii="宋体" w:eastAsia="宋体" w:hAnsi="宋体" w:cs="宋体"/>
          <w:spacing w:val="2"/>
          <w:sz w:val="24"/>
          <w:szCs w:val="24"/>
          <w:lang w:eastAsia="zh-CN"/>
        </w:rPr>
        <w:t>风</w:t>
      </w:r>
      <w:r w:rsidR="00362E17" w:rsidRPr="00635A3E">
        <w:rPr>
          <w:rFonts w:ascii="宋体" w:eastAsia="宋体" w:hAnsi="宋体" w:cs="宋体"/>
          <w:spacing w:val="2"/>
          <w:sz w:val="24"/>
          <w:szCs w:val="24"/>
          <w:lang w:eastAsia="zh-CN"/>
        </w:rPr>
        <w:t>险</w:t>
      </w:r>
      <w:r w:rsidR="00362E17" w:rsidRPr="006D350C">
        <w:rPr>
          <w:rFonts w:ascii="宋体" w:eastAsia="宋体" w:hAnsi="宋体" w:cs="宋体"/>
          <w:spacing w:val="2"/>
          <w:sz w:val="24"/>
          <w:szCs w:val="24"/>
          <w:lang w:eastAsia="zh-CN"/>
        </w:rPr>
        <w:t>控</w:t>
      </w:r>
      <w:r w:rsidR="00362E17" w:rsidRPr="00635A3E">
        <w:rPr>
          <w:rFonts w:ascii="宋体" w:eastAsia="宋体" w:hAnsi="宋体" w:cs="宋体"/>
          <w:spacing w:val="2"/>
          <w:sz w:val="24"/>
          <w:szCs w:val="24"/>
          <w:lang w:eastAsia="zh-CN"/>
        </w:rPr>
        <w:t>制措施</w:t>
      </w:r>
    </w:p>
    <w:p w14:paraId="1859208C" w14:textId="77777777" w:rsidR="00800E43" w:rsidRPr="006D350C" w:rsidRDefault="00362E17" w:rsidP="002D527C">
      <w:pPr>
        <w:spacing w:beforeLines="50" w:before="120" w:afterLines="50" w:after="120" w:line="360" w:lineRule="auto"/>
        <w:ind w:firstLineChars="200" w:firstLine="480"/>
        <w:rPr>
          <w:rFonts w:ascii="宋体" w:eastAsia="宋体" w:hAnsi="宋体" w:cs="宋体"/>
          <w:sz w:val="24"/>
          <w:szCs w:val="24"/>
          <w:lang w:eastAsia="zh-CN"/>
        </w:rPr>
      </w:pPr>
      <w:r w:rsidRPr="006D350C">
        <w:rPr>
          <w:rFonts w:ascii="宋体" w:eastAsia="宋体" w:hAnsi="宋体" w:cs="宋体"/>
          <w:sz w:val="24"/>
          <w:szCs w:val="24"/>
          <w:lang w:eastAsia="zh-CN"/>
        </w:rPr>
        <w:t>公司开展远期结售汇业务交易遵循套期保值原则</w:t>
      </w:r>
      <w:r w:rsidRPr="006D350C">
        <w:rPr>
          <w:rFonts w:ascii="宋体" w:eastAsia="宋体" w:hAnsi="宋体" w:cs="宋体"/>
          <w:spacing w:val="-48"/>
          <w:sz w:val="24"/>
          <w:szCs w:val="24"/>
          <w:lang w:eastAsia="zh-CN"/>
        </w:rPr>
        <w:t>，</w:t>
      </w:r>
      <w:r w:rsidRPr="006D350C">
        <w:rPr>
          <w:rFonts w:ascii="宋体" w:eastAsia="宋体" w:hAnsi="宋体" w:cs="宋体"/>
          <w:sz w:val="24"/>
          <w:szCs w:val="24"/>
          <w:lang w:eastAsia="zh-CN"/>
        </w:rPr>
        <w:t>不做投机性套利交易</w:t>
      </w:r>
      <w:r w:rsidRPr="006D350C">
        <w:rPr>
          <w:rFonts w:ascii="宋体" w:eastAsia="宋体" w:hAnsi="宋体" w:cs="宋体"/>
          <w:spacing w:val="-48"/>
          <w:sz w:val="24"/>
          <w:szCs w:val="24"/>
          <w:lang w:eastAsia="zh-CN"/>
        </w:rPr>
        <w:t>，</w:t>
      </w:r>
      <w:r w:rsidRPr="006D350C">
        <w:rPr>
          <w:rFonts w:ascii="宋体" w:eastAsia="宋体" w:hAnsi="宋体" w:cs="宋体"/>
          <w:sz w:val="24"/>
          <w:szCs w:val="24"/>
          <w:lang w:eastAsia="zh-CN"/>
        </w:rPr>
        <w:t>主要的风</w:t>
      </w:r>
      <w:r w:rsidRPr="006D350C">
        <w:rPr>
          <w:rFonts w:ascii="宋体" w:eastAsia="宋体" w:hAnsi="宋体" w:cs="宋体"/>
          <w:sz w:val="24"/>
          <w:szCs w:val="24"/>
          <w:lang w:eastAsia="zh-CN"/>
        </w:rPr>
        <w:lastRenderedPageBreak/>
        <w:t>险控制措施如下：</w:t>
      </w:r>
    </w:p>
    <w:p w14:paraId="410BE7AE" w14:textId="77777777" w:rsidR="00800E43" w:rsidRPr="006D350C" w:rsidRDefault="00362E17" w:rsidP="002D527C">
      <w:pPr>
        <w:spacing w:beforeLines="50" w:before="120" w:afterLines="50" w:after="120" w:line="360" w:lineRule="auto"/>
        <w:ind w:firstLineChars="200" w:firstLine="480"/>
        <w:jc w:val="both"/>
        <w:rPr>
          <w:rFonts w:ascii="宋体" w:eastAsia="宋体" w:hAnsi="宋体" w:cs="宋体"/>
          <w:sz w:val="24"/>
          <w:szCs w:val="24"/>
          <w:lang w:eastAsia="zh-CN"/>
        </w:rPr>
      </w:pPr>
      <w:r w:rsidRPr="006D350C">
        <w:rPr>
          <w:rFonts w:ascii="宋体" w:eastAsia="宋体" w:hAnsi="宋体" w:cs="宋体"/>
          <w:sz w:val="24"/>
          <w:szCs w:val="24"/>
          <w:lang w:eastAsia="zh-CN"/>
        </w:rPr>
        <w:t>1、在</w:t>
      </w:r>
      <w:r w:rsidRPr="006D350C">
        <w:rPr>
          <w:rFonts w:ascii="宋体" w:eastAsia="宋体" w:hAnsi="宋体" w:cs="宋体"/>
          <w:spacing w:val="2"/>
          <w:sz w:val="24"/>
          <w:szCs w:val="24"/>
          <w:lang w:eastAsia="zh-CN"/>
        </w:rPr>
        <w:t>签</w:t>
      </w:r>
      <w:r w:rsidRPr="006D350C">
        <w:rPr>
          <w:rFonts w:ascii="宋体" w:eastAsia="宋体" w:hAnsi="宋体" w:cs="宋体"/>
          <w:sz w:val="24"/>
          <w:szCs w:val="24"/>
          <w:lang w:eastAsia="zh-CN"/>
        </w:rPr>
        <w:t>订远</w:t>
      </w:r>
      <w:r w:rsidRPr="006D350C">
        <w:rPr>
          <w:rFonts w:ascii="宋体" w:eastAsia="宋体" w:hAnsi="宋体" w:cs="宋体"/>
          <w:spacing w:val="2"/>
          <w:sz w:val="24"/>
          <w:szCs w:val="24"/>
          <w:lang w:eastAsia="zh-CN"/>
        </w:rPr>
        <w:t>期</w:t>
      </w:r>
      <w:r w:rsidRPr="006D350C">
        <w:rPr>
          <w:rFonts w:ascii="宋体" w:eastAsia="宋体" w:hAnsi="宋体" w:cs="宋体"/>
          <w:sz w:val="24"/>
          <w:szCs w:val="24"/>
          <w:lang w:eastAsia="zh-CN"/>
        </w:rPr>
        <w:t>结售</w:t>
      </w:r>
      <w:r w:rsidRPr="006D350C">
        <w:rPr>
          <w:rFonts w:ascii="宋体" w:eastAsia="宋体" w:hAnsi="宋体" w:cs="宋体"/>
          <w:spacing w:val="2"/>
          <w:sz w:val="24"/>
          <w:szCs w:val="24"/>
          <w:lang w:eastAsia="zh-CN"/>
        </w:rPr>
        <w:t>汇</w:t>
      </w:r>
      <w:r w:rsidRPr="006D350C">
        <w:rPr>
          <w:rFonts w:ascii="宋体" w:eastAsia="宋体" w:hAnsi="宋体" w:cs="宋体"/>
          <w:sz w:val="24"/>
          <w:szCs w:val="24"/>
          <w:lang w:eastAsia="zh-CN"/>
        </w:rPr>
        <w:t>业务合</w:t>
      </w:r>
      <w:r w:rsidRPr="006D350C">
        <w:rPr>
          <w:rFonts w:ascii="宋体" w:eastAsia="宋体" w:hAnsi="宋体" w:cs="宋体"/>
          <w:spacing w:val="2"/>
          <w:sz w:val="24"/>
          <w:szCs w:val="24"/>
          <w:lang w:eastAsia="zh-CN"/>
        </w:rPr>
        <w:t>约</w:t>
      </w:r>
      <w:r w:rsidRPr="006D350C">
        <w:rPr>
          <w:rFonts w:ascii="宋体" w:eastAsia="宋体" w:hAnsi="宋体" w:cs="宋体"/>
          <w:sz w:val="24"/>
          <w:szCs w:val="24"/>
          <w:lang w:eastAsia="zh-CN"/>
        </w:rPr>
        <w:t>时严</w:t>
      </w:r>
      <w:r w:rsidRPr="006D350C">
        <w:rPr>
          <w:rFonts w:ascii="宋体" w:eastAsia="宋体" w:hAnsi="宋体" w:cs="宋体"/>
          <w:spacing w:val="2"/>
          <w:sz w:val="24"/>
          <w:szCs w:val="24"/>
          <w:lang w:eastAsia="zh-CN"/>
        </w:rPr>
        <w:t>格</w:t>
      </w:r>
      <w:r w:rsidRPr="006D350C">
        <w:rPr>
          <w:rFonts w:ascii="宋体" w:eastAsia="宋体" w:hAnsi="宋体" w:cs="宋体"/>
          <w:sz w:val="24"/>
          <w:szCs w:val="24"/>
          <w:lang w:eastAsia="zh-CN"/>
        </w:rPr>
        <w:t>按照</w:t>
      </w:r>
      <w:r w:rsidRPr="006D350C">
        <w:rPr>
          <w:rFonts w:ascii="宋体" w:eastAsia="宋体" w:hAnsi="宋体" w:cs="宋体"/>
          <w:spacing w:val="2"/>
          <w:sz w:val="24"/>
          <w:szCs w:val="24"/>
          <w:lang w:eastAsia="zh-CN"/>
        </w:rPr>
        <w:t>公</w:t>
      </w:r>
      <w:r w:rsidRPr="006D350C">
        <w:rPr>
          <w:rFonts w:ascii="宋体" w:eastAsia="宋体" w:hAnsi="宋体" w:cs="宋体"/>
          <w:sz w:val="24"/>
          <w:szCs w:val="24"/>
          <w:lang w:eastAsia="zh-CN"/>
        </w:rPr>
        <w:t>司预测</w:t>
      </w:r>
      <w:r w:rsidRPr="006D350C">
        <w:rPr>
          <w:rFonts w:ascii="宋体" w:eastAsia="宋体" w:hAnsi="宋体" w:cs="宋体"/>
          <w:spacing w:val="2"/>
          <w:sz w:val="24"/>
          <w:szCs w:val="24"/>
          <w:lang w:eastAsia="zh-CN"/>
        </w:rPr>
        <w:t>的</w:t>
      </w:r>
      <w:r w:rsidRPr="006D350C">
        <w:rPr>
          <w:rFonts w:ascii="宋体" w:eastAsia="宋体" w:hAnsi="宋体" w:cs="宋体"/>
          <w:sz w:val="24"/>
          <w:szCs w:val="24"/>
          <w:lang w:eastAsia="zh-CN"/>
        </w:rPr>
        <w:t>收汇</w:t>
      </w:r>
      <w:r w:rsidRPr="006D350C">
        <w:rPr>
          <w:rFonts w:ascii="宋体" w:eastAsia="宋体" w:hAnsi="宋体" w:cs="宋体"/>
          <w:spacing w:val="2"/>
          <w:sz w:val="24"/>
          <w:szCs w:val="24"/>
          <w:lang w:eastAsia="zh-CN"/>
        </w:rPr>
        <w:t>、</w:t>
      </w:r>
      <w:r w:rsidRPr="006D350C">
        <w:rPr>
          <w:rFonts w:ascii="宋体" w:eastAsia="宋体" w:hAnsi="宋体" w:cs="宋体"/>
          <w:sz w:val="24"/>
          <w:szCs w:val="24"/>
          <w:lang w:eastAsia="zh-CN"/>
        </w:rPr>
        <w:t>付汇</w:t>
      </w:r>
      <w:r w:rsidRPr="006D350C">
        <w:rPr>
          <w:rFonts w:ascii="宋体" w:eastAsia="宋体" w:hAnsi="宋体" w:cs="宋体"/>
          <w:spacing w:val="2"/>
          <w:sz w:val="24"/>
          <w:szCs w:val="24"/>
          <w:lang w:eastAsia="zh-CN"/>
        </w:rPr>
        <w:t>期</w:t>
      </w:r>
      <w:r w:rsidRPr="006D350C">
        <w:rPr>
          <w:rFonts w:ascii="宋体" w:eastAsia="宋体" w:hAnsi="宋体" w:cs="宋体"/>
          <w:sz w:val="24"/>
          <w:szCs w:val="24"/>
          <w:lang w:eastAsia="zh-CN"/>
        </w:rPr>
        <w:t>和金额进行交易，所有远期结售汇业务均有真实的贸易背景；</w:t>
      </w:r>
    </w:p>
    <w:p w14:paraId="00C3E3AB" w14:textId="77777777" w:rsidR="00800E43" w:rsidRDefault="00362E17" w:rsidP="002D527C">
      <w:pPr>
        <w:spacing w:beforeLines="50" w:before="120" w:afterLines="50" w:after="120" w:line="360" w:lineRule="auto"/>
        <w:ind w:firstLineChars="200" w:firstLine="480"/>
        <w:jc w:val="both"/>
        <w:rPr>
          <w:rFonts w:ascii="宋体" w:eastAsia="宋体" w:hAnsi="宋体" w:cs="宋体"/>
          <w:sz w:val="24"/>
          <w:szCs w:val="24"/>
          <w:lang w:eastAsia="zh-CN"/>
        </w:rPr>
      </w:pPr>
      <w:r w:rsidRPr="006D350C">
        <w:rPr>
          <w:rFonts w:ascii="宋体" w:eastAsia="宋体" w:hAnsi="宋体" w:cs="宋体"/>
          <w:sz w:val="24"/>
          <w:szCs w:val="24"/>
          <w:lang w:eastAsia="zh-CN"/>
        </w:rPr>
        <w:t>2、公</w:t>
      </w:r>
      <w:r w:rsidRPr="006D350C">
        <w:rPr>
          <w:rFonts w:ascii="宋体" w:eastAsia="宋体" w:hAnsi="宋体" w:cs="宋体"/>
          <w:spacing w:val="2"/>
          <w:sz w:val="24"/>
          <w:szCs w:val="24"/>
          <w:lang w:eastAsia="zh-CN"/>
        </w:rPr>
        <w:t>司</w:t>
      </w:r>
      <w:r w:rsidRPr="006D350C">
        <w:rPr>
          <w:rFonts w:ascii="宋体" w:eastAsia="宋体" w:hAnsi="宋体" w:cs="宋体"/>
          <w:sz w:val="24"/>
          <w:szCs w:val="24"/>
          <w:lang w:eastAsia="zh-CN"/>
        </w:rPr>
        <w:t>建立</w:t>
      </w:r>
      <w:r w:rsidRPr="006D350C">
        <w:rPr>
          <w:rFonts w:ascii="宋体" w:eastAsia="宋体" w:hAnsi="宋体" w:cs="宋体"/>
          <w:spacing w:val="2"/>
          <w:sz w:val="24"/>
          <w:szCs w:val="24"/>
          <w:lang w:eastAsia="zh-CN"/>
        </w:rPr>
        <w:t>了</w:t>
      </w:r>
      <w:r w:rsidRPr="006D350C">
        <w:rPr>
          <w:rFonts w:ascii="宋体" w:eastAsia="宋体" w:hAnsi="宋体" w:cs="宋体"/>
          <w:sz w:val="24"/>
          <w:szCs w:val="24"/>
          <w:lang w:eastAsia="zh-CN"/>
        </w:rPr>
        <w:t>相关</w:t>
      </w:r>
      <w:r w:rsidRPr="006D350C">
        <w:rPr>
          <w:rFonts w:ascii="宋体" w:eastAsia="宋体" w:hAnsi="宋体" w:cs="宋体"/>
          <w:spacing w:val="2"/>
          <w:sz w:val="24"/>
          <w:szCs w:val="24"/>
          <w:lang w:eastAsia="zh-CN"/>
        </w:rPr>
        <w:t>内</w:t>
      </w:r>
      <w:r w:rsidRPr="006D350C">
        <w:rPr>
          <w:rFonts w:ascii="宋体" w:eastAsia="宋体" w:hAnsi="宋体" w:cs="宋体"/>
          <w:sz w:val="24"/>
          <w:szCs w:val="24"/>
          <w:lang w:eastAsia="zh-CN"/>
        </w:rPr>
        <w:t>控管理</w:t>
      </w:r>
      <w:r w:rsidRPr="006D350C">
        <w:rPr>
          <w:rFonts w:ascii="宋体" w:eastAsia="宋体" w:hAnsi="宋体" w:cs="宋体"/>
          <w:spacing w:val="2"/>
          <w:sz w:val="24"/>
          <w:szCs w:val="24"/>
          <w:lang w:eastAsia="zh-CN"/>
        </w:rPr>
        <w:t>制</w:t>
      </w:r>
      <w:r w:rsidRPr="006D350C">
        <w:rPr>
          <w:rFonts w:ascii="宋体" w:eastAsia="宋体" w:hAnsi="宋体" w:cs="宋体"/>
          <w:sz w:val="24"/>
          <w:szCs w:val="24"/>
          <w:lang w:eastAsia="zh-CN"/>
        </w:rPr>
        <w:t>度，</w:t>
      </w:r>
      <w:r w:rsidRPr="006D350C">
        <w:rPr>
          <w:rFonts w:ascii="宋体" w:eastAsia="宋体" w:hAnsi="宋体" w:cs="宋体"/>
          <w:spacing w:val="2"/>
          <w:sz w:val="24"/>
          <w:szCs w:val="24"/>
          <w:lang w:eastAsia="zh-CN"/>
        </w:rPr>
        <w:t>对</w:t>
      </w:r>
      <w:r w:rsidRPr="006D350C">
        <w:rPr>
          <w:rFonts w:ascii="宋体" w:eastAsia="宋体" w:hAnsi="宋体" w:cs="宋体"/>
          <w:sz w:val="24"/>
          <w:szCs w:val="24"/>
          <w:lang w:eastAsia="zh-CN"/>
        </w:rPr>
        <w:t>交易</w:t>
      </w:r>
      <w:r w:rsidRPr="006D350C">
        <w:rPr>
          <w:rFonts w:ascii="宋体" w:eastAsia="宋体" w:hAnsi="宋体" w:cs="宋体"/>
          <w:spacing w:val="2"/>
          <w:sz w:val="24"/>
          <w:szCs w:val="24"/>
          <w:lang w:eastAsia="zh-CN"/>
        </w:rPr>
        <w:t>审</w:t>
      </w:r>
      <w:r w:rsidRPr="006D350C">
        <w:rPr>
          <w:rFonts w:ascii="宋体" w:eastAsia="宋体" w:hAnsi="宋体" w:cs="宋体"/>
          <w:sz w:val="24"/>
          <w:szCs w:val="24"/>
          <w:lang w:eastAsia="zh-CN"/>
        </w:rPr>
        <w:t>批权限</w:t>
      </w:r>
      <w:r w:rsidRPr="006D350C">
        <w:rPr>
          <w:rFonts w:ascii="宋体" w:eastAsia="宋体" w:hAnsi="宋体" w:cs="宋体"/>
          <w:spacing w:val="2"/>
          <w:sz w:val="24"/>
          <w:szCs w:val="24"/>
          <w:lang w:eastAsia="zh-CN"/>
        </w:rPr>
        <w:t>、</w:t>
      </w:r>
      <w:r w:rsidRPr="006D350C">
        <w:rPr>
          <w:rFonts w:ascii="宋体" w:eastAsia="宋体" w:hAnsi="宋体" w:cs="宋体"/>
          <w:sz w:val="24"/>
          <w:szCs w:val="24"/>
          <w:lang w:eastAsia="zh-CN"/>
        </w:rPr>
        <w:t>内部</w:t>
      </w:r>
      <w:r w:rsidRPr="006D350C">
        <w:rPr>
          <w:rFonts w:ascii="宋体" w:eastAsia="宋体" w:hAnsi="宋体" w:cs="宋体"/>
          <w:spacing w:val="2"/>
          <w:sz w:val="24"/>
          <w:szCs w:val="24"/>
          <w:lang w:eastAsia="zh-CN"/>
        </w:rPr>
        <w:t>审</w:t>
      </w:r>
      <w:r w:rsidRPr="006D350C">
        <w:rPr>
          <w:rFonts w:ascii="宋体" w:eastAsia="宋体" w:hAnsi="宋体" w:cs="宋体"/>
          <w:sz w:val="24"/>
          <w:szCs w:val="24"/>
          <w:lang w:eastAsia="zh-CN"/>
        </w:rPr>
        <w:t>核流</w:t>
      </w:r>
      <w:r w:rsidRPr="006D350C">
        <w:rPr>
          <w:rFonts w:ascii="宋体" w:eastAsia="宋体" w:hAnsi="宋体" w:cs="宋体"/>
          <w:spacing w:val="2"/>
          <w:sz w:val="24"/>
          <w:szCs w:val="24"/>
          <w:lang w:eastAsia="zh-CN"/>
        </w:rPr>
        <w:t>程</w:t>
      </w:r>
      <w:r w:rsidRPr="006D350C">
        <w:rPr>
          <w:rFonts w:ascii="宋体" w:eastAsia="宋体" w:hAnsi="宋体" w:cs="宋体"/>
          <w:sz w:val="24"/>
          <w:szCs w:val="24"/>
          <w:lang w:eastAsia="zh-CN"/>
        </w:rPr>
        <w:t>、决策程序</w:t>
      </w:r>
      <w:r w:rsidRPr="006D350C">
        <w:rPr>
          <w:rFonts w:ascii="宋体" w:eastAsia="宋体" w:hAnsi="宋体" w:cs="宋体"/>
          <w:spacing w:val="-31"/>
          <w:sz w:val="24"/>
          <w:szCs w:val="24"/>
          <w:lang w:eastAsia="zh-CN"/>
        </w:rPr>
        <w:t>、</w:t>
      </w:r>
      <w:r w:rsidRPr="006D350C">
        <w:rPr>
          <w:rFonts w:ascii="宋体" w:eastAsia="宋体" w:hAnsi="宋体" w:cs="宋体"/>
          <w:sz w:val="24"/>
          <w:szCs w:val="24"/>
          <w:lang w:eastAsia="zh-CN"/>
        </w:rPr>
        <w:t>信息隔离措施</w:t>
      </w:r>
      <w:r w:rsidRPr="006D350C">
        <w:rPr>
          <w:rFonts w:ascii="宋体" w:eastAsia="宋体" w:hAnsi="宋体" w:cs="宋体"/>
          <w:spacing w:val="-31"/>
          <w:sz w:val="24"/>
          <w:szCs w:val="24"/>
          <w:lang w:eastAsia="zh-CN"/>
        </w:rPr>
        <w:t>、</w:t>
      </w:r>
      <w:r w:rsidRPr="006D350C">
        <w:rPr>
          <w:rFonts w:ascii="宋体" w:eastAsia="宋体" w:hAnsi="宋体" w:cs="宋体"/>
          <w:sz w:val="24"/>
          <w:szCs w:val="24"/>
          <w:lang w:eastAsia="zh-CN"/>
        </w:rPr>
        <w:t>内部风险报告制度及风险处理程序</w:t>
      </w:r>
      <w:r w:rsidRPr="006D350C">
        <w:rPr>
          <w:rFonts w:ascii="宋体" w:eastAsia="宋体" w:hAnsi="宋体" w:cs="宋体"/>
          <w:spacing w:val="-31"/>
          <w:sz w:val="24"/>
          <w:szCs w:val="24"/>
          <w:lang w:eastAsia="zh-CN"/>
        </w:rPr>
        <w:t>、</w:t>
      </w:r>
      <w:r w:rsidRPr="006D350C">
        <w:rPr>
          <w:rFonts w:ascii="宋体" w:eastAsia="宋体" w:hAnsi="宋体" w:cs="宋体"/>
          <w:sz w:val="24"/>
          <w:szCs w:val="24"/>
          <w:lang w:eastAsia="zh-CN"/>
        </w:rPr>
        <w:t>信息披露等做出明确规定。</w:t>
      </w:r>
    </w:p>
    <w:p w14:paraId="72CDAD0C" w14:textId="77777777" w:rsidR="00C1007C" w:rsidRPr="00635A3E" w:rsidRDefault="00C1007C" w:rsidP="00635A3E">
      <w:pPr>
        <w:pStyle w:val="1"/>
        <w:spacing w:before="120" w:after="120" w:line="360" w:lineRule="auto"/>
        <w:ind w:firstLineChars="200" w:firstLine="486"/>
        <w:rPr>
          <w:rFonts w:ascii="宋体" w:eastAsia="宋体" w:hAnsi="宋体" w:cs="宋体"/>
          <w:spacing w:val="2"/>
          <w:sz w:val="24"/>
          <w:szCs w:val="24"/>
          <w:lang w:eastAsia="zh-CN"/>
        </w:rPr>
      </w:pPr>
      <w:r w:rsidRPr="00635A3E">
        <w:rPr>
          <w:rFonts w:ascii="宋体" w:eastAsia="宋体" w:hAnsi="宋体" w:cs="宋体"/>
          <w:spacing w:val="2"/>
          <w:sz w:val="24"/>
          <w:szCs w:val="24"/>
          <w:lang w:eastAsia="zh-CN"/>
        </w:rPr>
        <w:t>六、开展远期结售汇业务对公司的影响及相关会计处理</w:t>
      </w:r>
    </w:p>
    <w:p w14:paraId="32732D89" w14:textId="5774900E" w:rsidR="00C1007C" w:rsidRPr="00C1007C" w:rsidRDefault="00C1007C" w:rsidP="00C1007C">
      <w:pPr>
        <w:spacing w:beforeLines="50" w:before="120" w:afterLines="50" w:after="120" w:line="360" w:lineRule="auto"/>
        <w:ind w:firstLineChars="200" w:firstLine="480"/>
        <w:jc w:val="both"/>
        <w:rPr>
          <w:rFonts w:ascii="宋体" w:eastAsia="宋体" w:hAnsi="宋体" w:cs="宋体"/>
          <w:sz w:val="24"/>
          <w:szCs w:val="24"/>
          <w:lang w:eastAsia="zh-CN"/>
        </w:rPr>
      </w:pPr>
      <w:r w:rsidRPr="00C1007C">
        <w:rPr>
          <w:rFonts w:ascii="宋体" w:eastAsia="宋体" w:hAnsi="宋体" w:cs="宋体"/>
          <w:sz w:val="24"/>
          <w:szCs w:val="24"/>
          <w:lang w:eastAsia="zh-CN"/>
        </w:rPr>
        <w:t>公司开展远期结售汇业务，是以正常生产经营为基础，以具体业务为依托，且不开展以投机或套利为目的的外汇交易。公司已建立相应的管理制度，对开展远期结售汇业务的规范要求做出明确规定，具有较强的外汇风险管控能力，对公司的经营不会产生重大不利影响。公司根据财政部《企业会计准则第22号——金融工具确认和计量》《企业会计准则第37号——金融工具列报》等相关规定及其指南，对外汇远期结售汇业务进行相应核算。</w:t>
      </w:r>
    </w:p>
    <w:p w14:paraId="525CB0B3" w14:textId="07C91F48" w:rsidR="00C1007C" w:rsidRPr="00C1007C" w:rsidRDefault="00C1007C" w:rsidP="002D527C">
      <w:pPr>
        <w:spacing w:beforeLines="50" w:before="120" w:afterLines="50" w:after="120" w:line="360" w:lineRule="auto"/>
        <w:ind w:firstLineChars="200" w:firstLine="480"/>
        <w:jc w:val="both"/>
        <w:rPr>
          <w:rFonts w:ascii="宋体" w:eastAsia="宋体" w:hAnsi="宋体" w:cs="宋体"/>
          <w:sz w:val="24"/>
          <w:szCs w:val="24"/>
          <w:lang w:eastAsia="zh-CN"/>
        </w:rPr>
      </w:pPr>
    </w:p>
    <w:p w14:paraId="5A17C6AE" w14:textId="614A67AB" w:rsidR="00800E43" w:rsidRPr="006D350C" w:rsidRDefault="00362E17" w:rsidP="002D527C">
      <w:pPr>
        <w:spacing w:after="0" w:line="360" w:lineRule="auto"/>
        <w:ind w:firstLineChars="200" w:firstLine="480"/>
        <w:rPr>
          <w:sz w:val="20"/>
          <w:szCs w:val="20"/>
          <w:lang w:eastAsia="zh-CN"/>
        </w:rPr>
      </w:pPr>
      <w:r w:rsidRPr="006D350C">
        <w:rPr>
          <w:rFonts w:ascii="宋体" w:eastAsia="宋体" w:hAnsi="宋体" w:cs="宋体"/>
          <w:sz w:val="24"/>
          <w:szCs w:val="24"/>
          <w:lang w:eastAsia="zh-CN"/>
        </w:rPr>
        <w:t>特此公告。</w:t>
      </w:r>
    </w:p>
    <w:p w14:paraId="14FC8186" w14:textId="77777777" w:rsidR="0065675F" w:rsidRDefault="0065675F" w:rsidP="00DD1AFC">
      <w:pPr>
        <w:spacing w:after="0" w:line="360" w:lineRule="auto"/>
        <w:ind w:right="99"/>
        <w:jc w:val="right"/>
        <w:rPr>
          <w:rFonts w:ascii="宋体" w:eastAsia="宋体" w:hAnsi="宋体" w:cs="宋体"/>
          <w:sz w:val="24"/>
          <w:szCs w:val="24"/>
          <w:lang w:eastAsia="zh-CN"/>
        </w:rPr>
      </w:pPr>
    </w:p>
    <w:p w14:paraId="21DC6857" w14:textId="77777777" w:rsidR="00CD271B" w:rsidRDefault="00CD271B" w:rsidP="00DD1AFC">
      <w:pPr>
        <w:spacing w:after="0" w:line="360" w:lineRule="auto"/>
        <w:ind w:right="99"/>
        <w:jc w:val="right"/>
        <w:rPr>
          <w:rFonts w:ascii="宋体" w:eastAsia="宋体" w:hAnsi="宋体" w:cs="宋体"/>
          <w:sz w:val="24"/>
          <w:szCs w:val="24"/>
          <w:lang w:eastAsia="zh-CN"/>
        </w:rPr>
      </w:pPr>
    </w:p>
    <w:p w14:paraId="5D2DEE3B" w14:textId="77777777" w:rsidR="00800E43" w:rsidRPr="006D350C" w:rsidRDefault="00DD1AFC" w:rsidP="00DD1AFC">
      <w:pPr>
        <w:spacing w:after="0" w:line="360" w:lineRule="auto"/>
        <w:ind w:right="99"/>
        <w:jc w:val="right"/>
        <w:rPr>
          <w:rFonts w:ascii="宋体" w:eastAsia="宋体" w:hAnsi="宋体" w:cs="宋体"/>
          <w:sz w:val="24"/>
          <w:szCs w:val="24"/>
          <w:lang w:eastAsia="zh-CN"/>
        </w:rPr>
      </w:pPr>
      <w:r w:rsidRPr="006D350C">
        <w:rPr>
          <w:rFonts w:ascii="宋体" w:eastAsia="宋体" w:hAnsi="宋体" w:cs="宋体" w:hint="eastAsia"/>
          <w:sz w:val="24"/>
          <w:szCs w:val="24"/>
          <w:lang w:eastAsia="zh-CN"/>
        </w:rPr>
        <w:t>烟台北方安德利果汁</w:t>
      </w:r>
      <w:r w:rsidR="00362E17" w:rsidRPr="006D350C">
        <w:rPr>
          <w:rFonts w:ascii="宋体" w:eastAsia="宋体" w:hAnsi="宋体" w:cs="宋体"/>
          <w:sz w:val="24"/>
          <w:szCs w:val="24"/>
          <w:lang w:eastAsia="zh-CN"/>
        </w:rPr>
        <w:t>股份有限公司董事会</w:t>
      </w:r>
    </w:p>
    <w:p w14:paraId="4FAB0717" w14:textId="56C9E9EE" w:rsidR="00800E43" w:rsidRDefault="00362E17" w:rsidP="00DD1AFC">
      <w:pPr>
        <w:spacing w:after="0" w:line="360" w:lineRule="auto"/>
        <w:ind w:right="98"/>
        <w:jc w:val="right"/>
        <w:rPr>
          <w:rFonts w:ascii="宋体" w:eastAsia="宋体" w:hAnsi="宋体" w:cs="宋体"/>
          <w:sz w:val="24"/>
          <w:szCs w:val="24"/>
        </w:rPr>
      </w:pPr>
      <w:r w:rsidRPr="006D350C">
        <w:rPr>
          <w:rFonts w:ascii="宋体" w:eastAsia="宋体" w:hAnsi="宋体" w:cs="宋体"/>
          <w:sz w:val="24"/>
          <w:szCs w:val="24"/>
        </w:rPr>
        <w:t>202</w:t>
      </w:r>
      <w:r w:rsidR="0065675F">
        <w:rPr>
          <w:rFonts w:ascii="宋体" w:eastAsia="宋体" w:hAnsi="宋体" w:cs="宋体" w:hint="eastAsia"/>
          <w:sz w:val="24"/>
          <w:szCs w:val="24"/>
          <w:lang w:eastAsia="zh-CN"/>
        </w:rPr>
        <w:t>5</w:t>
      </w:r>
      <w:r w:rsidRPr="006D350C">
        <w:rPr>
          <w:rFonts w:ascii="宋体" w:eastAsia="宋体" w:hAnsi="宋体" w:cs="宋体"/>
          <w:sz w:val="24"/>
          <w:szCs w:val="24"/>
        </w:rPr>
        <w:t>年</w:t>
      </w:r>
      <w:r w:rsidR="00734B5F" w:rsidRPr="006D350C">
        <w:rPr>
          <w:rFonts w:ascii="宋体" w:eastAsia="宋体" w:hAnsi="宋体" w:cs="宋体" w:hint="eastAsia"/>
          <w:sz w:val="24"/>
          <w:szCs w:val="24"/>
          <w:lang w:eastAsia="zh-CN"/>
        </w:rPr>
        <w:t>3</w:t>
      </w:r>
      <w:r w:rsidRPr="006D350C">
        <w:rPr>
          <w:rFonts w:ascii="宋体" w:eastAsia="宋体" w:hAnsi="宋体" w:cs="宋体"/>
          <w:sz w:val="24"/>
          <w:szCs w:val="24"/>
        </w:rPr>
        <w:t>月</w:t>
      </w:r>
      <w:r w:rsidR="0065675F">
        <w:rPr>
          <w:rFonts w:ascii="宋体" w:eastAsia="宋体" w:hAnsi="宋体" w:cs="宋体" w:hint="eastAsia"/>
          <w:sz w:val="24"/>
          <w:szCs w:val="24"/>
          <w:lang w:eastAsia="zh-CN"/>
        </w:rPr>
        <w:t>2</w:t>
      </w:r>
      <w:r w:rsidR="00423CDC">
        <w:rPr>
          <w:rFonts w:ascii="宋体" w:eastAsia="宋体" w:hAnsi="宋体" w:cs="宋体" w:hint="eastAsia"/>
          <w:sz w:val="24"/>
          <w:szCs w:val="24"/>
          <w:lang w:eastAsia="zh-CN"/>
        </w:rPr>
        <w:t>6</w:t>
      </w:r>
      <w:r w:rsidRPr="006D350C">
        <w:rPr>
          <w:rFonts w:ascii="宋体" w:eastAsia="宋体" w:hAnsi="宋体" w:cs="宋体"/>
          <w:sz w:val="24"/>
          <w:szCs w:val="24"/>
        </w:rPr>
        <w:t>日</w:t>
      </w:r>
    </w:p>
    <w:sectPr w:rsidR="00800E43" w:rsidSect="0065675F">
      <w:footerReference w:type="default" r:id="rId7"/>
      <w:pgSz w:w="11920" w:h="16840"/>
      <w:pgMar w:top="1418" w:right="1418" w:bottom="1418" w:left="1418"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A255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B58EB" w16cex:dateUtc="2021-03-16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A25559" w16cid:durableId="23FB58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7D06ED" w14:textId="77777777" w:rsidR="00781DE3" w:rsidRDefault="00781DE3" w:rsidP="00BD25DD">
      <w:pPr>
        <w:spacing w:after="0" w:line="240" w:lineRule="auto"/>
      </w:pPr>
      <w:r>
        <w:separator/>
      </w:r>
    </w:p>
  </w:endnote>
  <w:endnote w:type="continuationSeparator" w:id="0">
    <w:p w14:paraId="5D5C310A" w14:textId="77777777" w:rsidR="00781DE3" w:rsidRDefault="00781DE3" w:rsidP="00BD2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882108"/>
      <w:docPartObj>
        <w:docPartGallery w:val="Page Numbers (Bottom of Page)"/>
        <w:docPartUnique/>
      </w:docPartObj>
    </w:sdtPr>
    <w:sdtEndPr/>
    <w:sdtContent>
      <w:p w14:paraId="0906D149" w14:textId="77777777" w:rsidR="00BD25DD" w:rsidRDefault="00BD25DD">
        <w:pPr>
          <w:pStyle w:val="a8"/>
          <w:jc w:val="center"/>
        </w:pPr>
        <w:r>
          <w:fldChar w:fldCharType="begin"/>
        </w:r>
        <w:r>
          <w:instrText>PAGE   \* MERGEFORMAT</w:instrText>
        </w:r>
        <w:r>
          <w:fldChar w:fldCharType="separate"/>
        </w:r>
        <w:r w:rsidR="00E64664" w:rsidRPr="00E64664">
          <w:rPr>
            <w:noProof/>
            <w:lang w:val="zh-CN" w:eastAsia="zh-CN"/>
          </w:rPr>
          <w:t>2</w:t>
        </w:r>
        <w:r>
          <w:fldChar w:fldCharType="end"/>
        </w:r>
      </w:p>
    </w:sdtContent>
  </w:sdt>
  <w:p w14:paraId="65979B09" w14:textId="77777777" w:rsidR="00BD25DD" w:rsidRDefault="00BD25D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D5A2E" w14:textId="77777777" w:rsidR="00781DE3" w:rsidRDefault="00781DE3" w:rsidP="00BD25DD">
      <w:pPr>
        <w:spacing w:after="0" w:line="240" w:lineRule="auto"/>
      </w:pPr>
      <w:r>
        <w:separator/>
      </w:r>
    </w:p>
  </w:footnote>
  <w:footnote w:type="continuationSeparator" w:id="0">
    <w:p w14:paraId="162216F1" w14:textId="77777777" w:rsidR="00781DE3" w:rsidRDefault="00781DE3" w:rsidP="00BD25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E43"/>
    <w:rsid w:val="000044AD"/>
    <w:rsid w:val="0001144E"/>
    <w:rsid w:val="00031E92"/>
    <w:rsid w:val="00073BBF"/>
    <w:rsid w:val="00081C7F"/>
    <w:rsid w:val="000A4F07"/>
    <w:rsid w:val="000B5049"/>
    <w:rsid w:val="000D2758"/>
    <w:rsid w:val="000E0572"/>
    <w:rsid w:val="000F0670"/>
    <w:rsid w:val="00117178"/>
    <w:rsid w:val="00147220"/>
    <w:rsid w:val="001500A2"/>
    <w:rsid w:val="00161E56"/>
    <w:rsid w:val="001A0A96"/>
    <w:rsid w:val="001B4EEB"/>
    <w:rsid w:val="001C0DD0"/>
    <w:rsid w:val="001D1FA0"/>
    <w:rsid w:val="00216C1D"/>
    <w:rsid w:val="00235933"/>
    <w:rsid w:val="002B1ED4"/>
    <w:rsid w:val="002B2539"/>
    <w:rsid w:val="002B48F8"/>
    <w:rsid w:val="002D527C"/>
    <w:rsid w:val="00332E65"/>
    <w:rsid w:val="00362E17"/>
    <w:rsid w:val="003716B2"/>
    <w:rsid w:val="00381CD5"/>
    <w:rsid w:val="0038247B"/>
    <w:rsid w:val="00423CDC"/>
    <w:rsid w:val="004626DC"/>
    <w:rsid w:val="00474C2A"/>
    <w:rsid w:val="004C52A0"/>
    <w:rsid w:val="004D18FD"/>
    <w:rsid w:val="004E244B"/>
    <w:rsid w:val="005367B5"/>
    <w:rsid w:val="00577D8B"/>
    <w:rsid w:val="0058062D"/>
    <w:rsid w:val="00590411"/>
    <w:rsid w:val="00592033"/>
    <w:rsid w:val="00597E05"/>
    <w:rsid w:val="005A3D96"/>
    <w:rsid w:val="005E6F50"/>
    <w:rsid w:val="005F2834"/>
    <w:rsid w:val="006309A7"/>
    <w:rsid w:val="00635A3E"/>
    <w:rsid w:val="0065675F"/>
    <w:rsid w:val="006B62BE"/>
    <w:rsid w:val="006C62AF"/>
    <w:rsid w:val="006D350C"/>
    <w:rsid w:val="006E0501"/>
    <w:rsid w:val="006F72A0"/>
    <w:rsid w:val="00715B9E"/>
    <w:rsid w:val="00734B5F"/>
    <w:rsid w:val="00781D89"/>
    <w:rsid w:val="00781DE3"/>
    <w:rsid w:val="007A63DE"/>
    <w:rsid w:val="007D77ED"/>
    <w:rsid w:val="007E37B8"/>
    <w:rsid w:val="007F4B6E"/>
    <w:rsid w:val="00800E43"/>
    <w:rsid w:val="008101BF"/>
    <w:rsid w:val="00837CCB"/>
    <w:rsid w:val="00841704"/>
    <w:rsid w:val="00853179"/>
    <w:rsid w:val="008705BA"/>
    <w:rsid w:val="0087779E"/>
    <w:rsid w:val="00894816"/>
    <w:rsid w:val="00895443"/>
    <w:rsid w:val="008977DD"/>
    <w:rsid w:val="008F2E0E"/>
    <w:rsid w:val="00922DCA"/>
    <w:rsid w:val="00946F97"/>
    <w:rsid w:val="00970A27"/>
    <w:rsid w:val="00971923"/>
    <w:rsid w:val="009721EC"/>
    <w:rsid w:val="00972C8C"/>
    <w:rsid w:val="009905E2"/>
    <w:rsid w:val="00993C49"/>
    <w:rsid w:val="009A16A8"/>
    <w:rsid w:val="009F0990"/>
    <w:rsid w:val="00A0756C"/>
    <w:rsid w:val="00A21756"/>
    <w:rsid w:val="00A41A30"/>
    <w:rsid w:val="00A64E2A"/>
    <w:rsid w:val="00A972D7"/>
    <w:rsid w:val="00AD019D"/>
    <w:rsid w:val="00AD07FE"/>
    <w:rsid w:val="00B552D6"/>
    <w:rsid w:val="00B66E10"/>
    <w:rsid w:val="00B76C84"/>
    <w:rsid w:val="00B8021D"/>
    <w:rsid w:val="00B866AA"/>
    <w:rsid w:val="00B92A65"/>
    <w:rsid w:val="00BD25DD"/>
    <w:rsid w:val="00BE2311"/>
    <w:rsid w:val="00C06FE1"/>
    <w:rsid w:val="00C1007C"/>
    <w:rsid w:val="00C433E2"/>
    <w:rsid w:val="00C74FB7"/>
    <w:rsid w:val="00CD271B"/>
    <w:rsid w:val="00D14ABE"/>
    <w:rsid w:val="00D14C6C"/>
    <w:rsid w:val="00D26F73"/>
    <w:rsid w:val="00D437B3"/>
    <w:rsid w:val="00DA19B3"/>
    <w:rsid w:val="00DC75B3"/>
    <w:rsid w:val="00DD1AFC"/>
    <w:rsid w:val="00E07B23"/>
    <w:rsid w:val="00E21134"/>
    <w:rsid w:val="00E64664"/>
    <w:rsid w:val="00EB1E16"/>
    <w:rsid w:val="00EB6FA4"/>
    <w:rsid w:val="00EE0F44"/>
    <w:rsid w:val="00F11715"/>
    <w:rsid w:val="00F370D9"/>
    <w:rsid w:val="00FA1DDB"/>
    <w:rsid w:val="00FA6A78"/>
    <w:rsid w:val="00FC107A"/>
    <w:rsid w:val="00FE2D52"/>
    <w:rsid w:val="00FF3BFB"/>
    <w:rsid w:val="00FF7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9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paragraph" w:styleId="1">
    <w:name w:val="heading 1"/>
    <w:basedOn w:val="a"/>
    <w:next w:val="a"/>
    <w:link w:val="1Char"/>
    <w:uiPriority w:val="9"/>
    <w:qFormat/>
    <w:rsid w:val="00635A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AFC"/>
    <w:pPr>
      <w:ind w:firstLineChars="200" w:firstLine="420"/>
    </w:pPr>
  </w:style>
  <w:style w:type="character" w:styleId="a4">
    <w:name w:val="annotation reference"/>
    <w:uiPriority w:val="99"/>
    <w:unhideWhenUsed/>
    <w:rsid w:val="00BD25DD"/>
    <w:rPr>
      <w:sz w:val="21"/>
      <w:szCs w:val="21"/>
    </w:rPr>
  </w:style>
  <w:style w:type="character" w:customStyle="1" w:styleId="Char">
    <w:name w:val="批注文字 Char"/>
    <w:basedOn w:val="a0"/>
    <w:link w:val="a5"/>
    <w:uiPriority w:val="99"/>
    <w:rsid w:val="00BD25DD"/>
  </w:style>
  <w:style w:type="paragraph" w:styleId="a5">
    <w:name w:val="annotation text"/>
    <w:basedOn w:val="a"/>
    <w:link w:val="Char"/>
    <w:uiPriority w:val="99"/>
    <w:unhideWhenUsed/>
    <w:rsid w:val="00BD25DD"/>
    <w:pPr>
      <w:spacing w:after="0" w:line="240" w:lineRule="auto"/>
    </w:pPr>
  </w:style>
  <w:style w:type="character" w:customStyle="1" w:styleId="Char1">
    <w:name w:val="批注文字 Char1"/>
    <w:basedOn w:val="a0"/>
    <w:uiPriority w:val="99"/>
    <w:semiHidden/>
    <w:rsid w:val="00BD25DD"/>
  </w:style>
  <w:style w:type="paragraph" w:styleId="a6">
    <w:name w:val="Balloon Text"/>
    <w:basedOn w:val="a"/>
    <w:link w:val="Char0"/>
    <w:uiPriority w:val="99"/>
    <w:semiHidden/>
    <w:unhideWhenUsed/>
    <w:rsid w:val="00BD25DD"/>
    <w:pPr>
      <w:spacing w:after="0" w:line="240" w:lineRule="auto"/>
    </w:pPr>
    <w:rPr>
      <w:sz w:val="18"/>
      <w:szCs w:val="18"/>
    </w:rPr>
  </w:style>
  <w:style w:type="character" w:customStyle="1" w:styleId="Char0">
    <w:name w:val="批注框文本 Char"/>
    <w:basedOn w:val="a0"/>
    <w:link w:val="a6"/>
    <w:uiPriority w:val="99"/>
    <w:semiHidden/>
    <w:rsid w:val="00BD25DD"/>
    <w:rPr>
      <w:sz w:val="18"/>
      <w:szCs w:val="18"/>
    </w:rPr>
  </w:style>
  <w:style w:type="paragraph" w:styleId="a7">
    <w:name w:val="header"/>
    <w:basedOn w:val="a"/>
    <w:link w:val="Char2"/>
    <w:uiPriority w:val="99"/>
    <w:unhideWhenUsed/>
    <w:rsid w:val="00BD25D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7"/>
    <w:uiPriority w:val="99"/>
    <w:rsid w:val="00BD25DD"/>
    <w:rPr>
      <w:sz w:val="18"/>
      <w:szCs w:val="18"/>
    </w:rPr>
  </w:style>
  <w:style w:type="paragraph" w:styleId="a8">
    <w:name w:val="footer"/>
    <w:basedOn w:val="a"/>
    <w:link w:val="Char3"/>
    <w:uiPriority w:val="99"/>
    <w:unhideWhenUsed/>
    <w:rsid w:val="00BD25DD"/>
    <w:pPr>
      <w:tabs>
        <w:tab w:val="center" w:pos="4153"/>
        <w:tab w:val="right" w:pos="8306"/>
      </w:tabs>
      <w:snapToGrid w:val="0"/>
      <w:spacing w:line="240" w:lineRule="auto"/>
    </w:pPr>
    <w:rPr>
      <w:sz w:val="18"/>
      <w:szCs w:val="18"/>
    </w:rPr>
  </w:style>
  <w:style w:type="character" w:customStyle="1" w:styleId="Char3">
    <w:name w:val="页脚 Char"/>
    <w:basedOn w:val="a0"/>
    <w:link w:val="a8"/>
    <w:uiPriority w:val="99"/>
    <w:rsid w:val="00BD25DD"/>
    <w:rPr>
      <w:sz w:val="18"/>
      <w:szCs w:val="18"/>
    </w:rPr>
  </w:style>
  <w:style w:type="paragraph" w:styleId="a9">
    <w:name w:val="annotation subject"/>
    <w:basedOn w:val="a5"/>
    <w:next w:val="a5"/>
    <w:link w:val="Char4"/>
    <w:uiPriority w:val="99"/>
    <w:semiHidden/>
    <w:unhideWhenUsed/>
    <w:rsid w:val="00381CD5"/>
    <w:pPr>
      <w:spacing w:after="200" w:line="276" w:lineRule="auto"/>
    </w:pPr>
    <w:rPr>
      <w:b/>
      <w:bCs/>
    </w:rPr>
  </w:style>
  <w:style w:type="character" w:customStyle="1" w:styleId="Char4">
    <w:name w:val="批注主题 Char"/>
    <w:basedOn w:val="Char"/>
    <w:link w:val="a9"/>
    <w:uiPriority w:val="99"/>
    <w:semiHidden/>
    <w:rsid w:val="00381CD5"/>
    <w:rPr>
      <w:b/>
      <w:bCs/>
    </w:rPr>
  </w:style>
  <w:style w:type="character" w:customStyle="1" w:styleId="1Char">
    <w:name w:val="标题 1 Char"/>
    <w:basedOn w:val="a0"/>
    <w:link w:val="1"/>
    <w:uiPriority w:val="9"/>
    <w:rsid w:val="00635A3E"/>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paragraph" w:styleId="1">
    <w:name w:val="heading 1"/>
    <w:basedOn w:val="a"/>
    <w:next w:val="a"/>
    <w:link w:val="1Char"/>
    <w:uiPriority w:val="9"/>
    <w:qFormat/>
    <w:rsid w:val="00635A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AFC"/>
    <w:pPr>
      <w:ind w:firstLineChars="200" w:firstLine="420"/>
    </w:pPr>
  </w:style>
  <w:style w:type="character" w:styleId="a4">
    <w:name w:val="annotation reference"/>
    <w:uiPriority w:val="99"/>
    <w:unhideWhenUsed/>
    <w:rsid w:val="00BD25DD"/>
    <w:rPr>
      <w:sz w:val="21"/>
      <w:szCs w:val="21"/>
    </w:rPr>
  </w:style>
  <w:style w:type="character" w:customStyle="1" w:styleId="Char">
    <w:name w:val="批注文字 Char"/>
    <w:basedOn w:val="a0"/>
    <w:link w:val="a5"/>
    <w:uiPriority w:val="99"/>
    <w:rsid w:val="00BD25DD"/>
  </w:style>
  <w:style w:type="paragraph" w:styleId="a5">
    <w:name w:val="annotation text"/>
    <w:basedOn w:val="a"/>
    <w:link w:val="Char"/>
    <w:uiPriority w:val="99"/>
    <w:unhideWhenUsed/>
    <w:rsid w:val="00BD25DD"/>
    <w:pPr>
      <w:spacing w:after="0" w:line="240" w:lineRule="auto"/>
    </w:pPr>
  </w:style>
  <w:style w:type="character" w:customStyle="1" w:styleId="Char1">
    <w:name w:val="批注文字 Char1"/>
    <w:basedOn w:val="a0"/>
    <w:uiPriority w:val="99"/>
    <w:semiHidden/>
    <w:rsid w:val="00BD25DD"/>
  </w:style>
  <w:style w:type="paragraph" w:styleId="a6">
    <w:name w:val="Balloon Text"/>
    <w:basedOn w:val="a"/>
    <w:link w:val="Char0"/>
    <w:uiPriority w:val="99"/>
    <w:semiHidden/>
    <w:unhideWhenUsed/>
    <w:rsid w:val="00BD25DD"/>
    <w:pPr>
      <w:spacing w:after="0" w:line="240" w:lineRule="auto"/>
    </w:pPr>
    <w:rPr>
      <w:sz w:val="18"/>
      <w:szCs w:val="18"/>
    </w:rPr>
  </w:style>
  <w:style w:type="character" w:customStyle="1" w:styleId="Char0">
    <w:name w:val="批注框文本 Char"/>
    <w:basedOn w:val="a0"/>
    <w:link w:val="a6"/>
    <w:uiPriority w:val="99"/>
    <w:semiHidden/>
    <w:rsid w:val="00BD25DD"/>
    <w:rPr>
      <w:sz w:val="18"/>
      <w:szCs w:val="18"/>
    </w:rPr>
  </w:style>
  <w:style w:type="paragraph" w:styleId="a7">
    <w:name w:val="header"/>
    <w:basedOn w:val="a"/>
    <w:link w:val="Char2"/>
    <w:uiPriority w:val="99"/>
    <w:unhideWhenUsed/>
    <w:rsid w:val="00BD25D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7"/>
    <w:uiPriority w:val="99"/>
    <w:rsid w:val="00BD25DD"/>
    <w:rPr>
      <w:sz w:val="18"/>
      <w:szCs w:val="18"/>
    </w:rPr>
  </w:style>
  <w:style w:type="paragraph" w:styleId="a8">
    <w:name w:val="footer"/>
    <w:basedOn w:val="a"/>
    <w:link w:val="Char3"/>
    <w:uiPriority w:val="99"/>
    <w:unhideWhenUsed/>
    <w:rsid w:val="00BD25DD"/>
    <w:pPr>
      <w:tabs>
        <w:tab w:val="center" w:pos="4153"/>
        <w:tab w:val="right" w:pos="8306"/>
      </w:tabs>
      <w:snapToGrid w:val="0"/>
      <w:spacing w:line="240" w:lineRule="auto"/>
    </w:pPr>
    <w:rPr>
      <w:sz w:val="18"/>
      <w:szCs w:val="18"/>
    </w:rPr>
  </w:style>
  <w:style w:type="character" w:customStyle="1" w:styleId="Char3">
    <w:name w:val="页脚 Char"/>
    <w:basedOn w:val="a0"/>
    <w:link w:val="a8"/>
    <w:uiPriority w:val="99"/>
    <w:rsid w:val="00BD25DD"/>
    <w:rPr>
      <w:sz w:val="18"/>
      <w:szCs w:val="18"/>
    </w:rPr>
  </w:style>
  <w:style w:type="paragraph" w:styleId="a9">
    <w:name w:val="annotation subject"/>
    <w:basedOn w:val="a5"/>
    <w:next w:val="a5"/>
    <w:link w:val="Char4"/>
    <w:uiPriority w:val="99"/>
    <w:semiHidden/>
    <w:unhideWhenUsed/>
    <w:rsid w:val="00381CD5"/>
    <w:pPr>
      <w:spacing w:after="200" w:line="276" w:lineRule="auto"/>
    </w:pPr>
    <w:rPr>
      <w:b/>
      <w:bCs/>
    </w:rPr>
  </w:style>
  <w:style w:type="character" w:customStyle="1" w:styleId="Char4">
    <w:name w:val="批注主题 Char"/>
    <w:basedOn w:val="Char"/>
    <w:link w:val="a9"/>
    <w:uiPriority w:val="99"/>
    <w:semiHidden/>
    <w:rsid w:val="00381CD5"/>
    <w:rPr>
      <w:b/>
      <w:bCs/>
    </w:rPr>
  </w:style>
  <w:style w:type="character" w:customStyle="1" w:styleId="1Char">
    <w:name w:val="标题 1 Char"/>
    <w:basedOn w:val="a0"/>
    <w:link w:val="1"/>
    <w:uiPriority w:val="9"/>
    <w:rsid w:val="00635A3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903646">
      <w:bodyDiv w:val="1"/>
      <w:marLeft w:val="0"/>
      <w:marRight w:val="0"/>
      <w:marTop w:val="0"/>
      <w:marBottom w:val="0"/>
      <w:divBdr>
        <w:top w:val="none" w:sz="0" w:space="0" w:color="auto"/>
        <w:left w:val="none" w:sz="0" w:space="0" w:color="auto"/>
        <w:bottom w:val="none" w:sz="0" w:space="0" w:color="auto"/>
        <w:right w:val="none" w:sz="0" w:space="0" w:color="auto"/>
      </w:divBdr>
      <w:divsChild>
        <w:div w:id="1639533396">
          <w:marLeft w:val="0"/>
          <w:marRight w:val="0"/>
          <w:marTop w:val="75"/>
          <w:marBottom w:val="75"/>
          <w:divBdr>
            <w:top w:val="none" w:sz="0" w:space="0" w:color="auto"/>
            <w:left w:val="none" w:sz="0" w:space="0" w:color="auto"/>
            <w:bottom w:val="none" w:sz="0" w:space="0" w:color="auto"/>
            <w:right w:val="none" w:sz="0" w:space="0" w:color="auto"/>
          </w:divBdr>
          <w:divsChild>
            <w:div w:id="16756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5076">
      <w:bodyDiv w:val="1"/>
      <w:marLeft w:val="0"/>
      <w:marRight w:val="0"/>
      <w:marTop w:val="0"/>
      <w:marBottom w:val="0"/>
      <w:divBdr>
        <w:top w:val="none" w:sz="0" w:space="0" w:color="auto"/>
        <w:left w:val="none" w:sz="0" w:space="0" w:color="auto"/>
        <w:bottom w:val="none" w:sz="0" w:space="0" w:color="auto"/>
        <w:right w:val="none" w:sz="0" w:space="0" w:color="auto"/>
      </w:divBdr>
      <w:divsChild>
        <w:div w:id="581567735">
          <w:marLeft w:val="0"/>
          <w:marRight w:val="0"/>
          <w:marTop w:val="75"/>
          <w:marBottom w:val="75"/>
          <w:divBdr>
            <w:top w:val="none" w:sz="0" w:space="0" w:color="auto"/>
            <w:left w:val="none" w:sz="0" w:space="0" w:color="auto"/>
            <w:bottom w:val="none" w:sz="0" w:space="0" w:color="auto"/>
            <w:right w:val="none" w:sz="0" w:space="0" w:color="auto"/>
          </w:divBdr>
          <w:divsChild>
            <w:div w:id="6515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3</Pages>
  <Words>764</Words>
  <Characters>987</Characters>
  <Application>Microsoft Office Word</Application>
  <DocSecurity>0</DocSecurity>
  <Lines>98</Lines>
  <Paragraphs>116</Paragraphs>
  <ScaleCrop>false</ScaleCrop>
  <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Nie</dc:creator>
  <cp:lastModifiedBy>王宁</cp:lastModifiedBy>
  <cp:revision>53</cp:revision>
  <cp:lastPrinted>2024-03-05T05:57:00Z</cp:lastPrinted>
  <dcterms:created xsi:type="dcterms:W3CDTF">2021-03-16T08:20:00Z</dcterms:created>
  <dcterms:modified xsi:type="dcterms:W3CDTF">2025-03-26T02:39:00Z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2020-12-28T00:00:00Z</vt:filetime>
  </property>
  <property fmtid="{D5CDD505-2E9C-101B-9397-08002B2CF9AE}" pid="3" name="LastSaved">
    <vt:filetime>2021-02-22T00:00:00Z</vt:filetime>
  </property>
</Properties>
</file>